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9D24B5" w14:textId="77777777" w:rsidR="007D4201" w:rsidRPr="00DA6592" w:rsidRDefault="007D4201" w:rsidP="00887E62">
      <w:pPr>
        <w:rPr>
          <w:rFonts w:asciiTheme="minorHAnsi" w:hAnsiTheme="minorHAnsi" w:cstheme="minorHAnsi"/>
          <w:sz w:val="28"/>
          <w:szCs w:val="28"/>
        </w:rPr>
      </w:pPr>
      <w:r w:rsidRPr="00DA6592">
        <w:rPr>
          <w:rFonts w:asciiTheme="minorHAnsi" w:hAnsiTheme="minorHAnsi" w:cstheme="minorHAnsi"/>
          <w:noProof/>
        </w:rPr>
        <w:drawing>
          <wp:inline distT="0" distB="0" distL="0" distR="0" wp14:anchorId="01170520" wp14:editId="4E679C34">
            <wp:extent cx="1419181" cy="781050"/>
            <wp:effectExtent l="0" t="0" r="0" b="0"/>
            <wp:docPr id="4" name="Picture 4" descr="Codes and Standards Progra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odes and Standards Program logo"/>
                    <pic:cNvPicPr/>
                  </pic:nvPicPr>
                  <pic:blipFill>
                    <a:blip r:embed="rId11">
                      <a:extLst>
                        <a:ext uri="{28A0092B-C50C-407E-A947-70E740481C1C}">
                          <a14:useLocalDpi xmlns:a14="http://schemas.microsoft.com/office/drawing/2010/main" val="0"/>
                        </a:ext>
                      </a:extLst>
                    </a:blip>
                    <a:stretch>
                      <a:fillRect/>
                    </a:stretch>
                  </pic:blipFill>
                  <pic:spPr>
                    <a:xfrm>
                      <a:off x="0" y="0"/>
                      <a:ext cx="1425029" cy="784269"/>
                    </a:xfrm>
                    <a:prstGeom prst="rect">
                      <a:avLst/>
                    </a:prstGeom>
                  </pic:spPr>
                </pic:pic>
              </a:graphicData>
            </a:graphic>
          </wp:inline>
        </w:drawing>
      </w:r>
    </w:p>
    <w:p w14:paraId="6795F77D" w14:textId="77777777" w:rsidR="007D4201" w:rsidRPr="00DA6592" w:rsidRDefault="007D4201" w:rsidP="007E77F9">
      <w:pPr>
        <w:rPr>
          <w:rFonts w:asciiTheme="minorHAnsi" w:hAnsiTheme="minorHAnsi" w:cstheme="minorHAnsi"/>
        </w:rPr>
      </w:pPr>
    </w:p>
    <w:p w14:paraId="503B8E0D" w14:textId="77777777" w:rsidR="00BB781C" w:rsidRDefault="00BB781C" w:rsidP="00626C7D">
      <w:pPr>
        <w:spacing w:before="120" w:line="300" w:lineRule="auto"/>
        <w:ind w:left="360" w:right="450"/>
        <w:rPr>
          <w:rFonts w:asciiTheme="minorHAnsi" w:hAnsiTheme="minorHAnsi" w:cstheme="minorHAnsi"/>
        </w:rPr>
      </w:pPr>
    </w:p>
    <w:p w14:paraId="0C4E89E0" w14:textId="77777777" w:rsidR="00BB781C" w:rsidRDefault="00BB781C" w:rsidP="00626C7D">
      <w:pPr>
        <w:spacing w:before="120" w:line="300" w:lineRule="auto"/>
        <w:ind w:left="360" w:right="450"/>
        <w:rPr>
          <w:rFonts w:asciiTheme="minorHAnsi" w:hAnsiTheme="minorHAnsi" w:cstheme="minorHAnsi"/>
        </w:rPr>
      </w:pPr>
    </w:p>
    <w:p w14:paraId="6783145F" w14:textId="17C56F61" w:rsidR="007D4201" w:rsidRPr="00DA6592" w:rsidRDefault="007D4201" w:rsidP="00626C7D">
      <w:pPr>
        <w:spacing w:before="120" w:line="300" w:lineRule="auto"/>
        <w:ind w:left="360" w:right="450"/>
        <w:rPr>
          <w:rFonts w:asciiTheme="minorHAnsi" w:hAnsiTheme="minorHAnsi" w:cstheme="minorHAnsi"/>
        </w:rPr>
      </w:pPr>
      <w:r w:rsidRPr="00DA6592">
        <w:rPr>
          <w:rFonts w:asciiTheme="minorHAnsi" w:hAnsiTheme="minorHAnsi" w:cstheme="minorHAnsi"/>
        </w:rPr>
        <w:t>Note:</w:t>
      </w:r>
    </w:p>
    <w:p w14:paraId="2AB15C9A" w14:textId="77777777" w:rsidR="007D4201" w:rsidRPr="00DA6592" w:rsidRDefault="007D4201" w:rsidP="00626C7D">
      <w:pPr>
        <w:spacing w:before="120" w:line="300" w:lineRule="auto"/>
        <w:ind w:left="360" w:right="450"/>
        <w:rPr>
          <w:rFonts w:asciiTheme="minorHAnsi" w:hAnsiTheme="minorHAnsi" w:cstheme="minorHAnsi"/>
        </w:rPr>
      </w:pPr>
      <w:r w:rsidRPr="00DA6592">
        <w:rPr>
          <w:rFonts w:asciiTheme="minorHAnsi" w:hAnsiTheme="minorHAnsi" w:cstheme="minorHAnsi"/>
        </w:rPr>
        <w:t xml:space="preserve">This document is intended for educational purposes only, without any express or implied warranty of any kind, including warranties of accuracy, completeness, or fitness for any particular purpose. </w:t>
      </w:r>
      <w:r w:rsidRPr="00DA6592">
        <w:rPr>
          <w:rFonts w:asciiTheme="minorHAnsi" w:hAnsiTheme="minorHAnsi" w:cstheme="minorHAnsi"/>
          <w:shd w:val="clear" w:color="auto" w:fill="FFFFFF"/>
        </w:rPr>
        <w:t>You agree that your use of the template is without any recourse whatsoever to PG&amp;E, SCE, SDG&amp;E, or their affiliates.</w:t>
      </w:r>
      <w:r w:rsidRPr="00DA6592">
        <w:rPr>
          <w:rFonts w:asciiTheme="minorHAnsi" w:hAnsiTheme="minorHAnsi" w:cstheme="minorHAnsi"/>
        </w:rPr>
        <w:t xml:space="preserve"> The template is a draft, and anyone using this document should seek the advice of an attorney to develop appropriate ordinance language to meet its jurisdiction’s specific needs, as state and local laws may differ.</w:t>
      </w:r>
    </w:p>
    <w:p w14:paraId="585D8F64" w14:textId="77777777" w:rsidR="00DE04FB" w:rsidRPr="00DA6592" w:rsidRDefault="00DE04FB" w:rsidP="00626C7D">
      <w:pPr>
        <w:spacing w:before="120" w:line="300" w:lineRule="auto"/>
        <w:ind w:left="360" w:right="720"/>
        <w:rPr>
          <w:rFonts w:asciiTheme="minorHAnsi" w:hAnsiTheme="minorHAnsi" w:cstheme="minorHAnsi"/>
        </w:rPr>
      </w:pPr>
    </w:p>
    <w:p w14:paraId="713A3C7C" w14:textId="322BE0D8" w:rsidR="007D4201" w:rsidRPr="00DA6592" w:rsidRDefault="007D4201" w:rsidP="00626C7D">
      <w:pPr>
        <w:spacing w:before="120" w:line="300" w:lineRule="auto"/>
        <w:ind w:left="360" w:right="720"/>
        <w:rPr>
          <w:rFonts w:asciiTheme="minorHAnsi" w:hAnsiTheme="minorHAnsi" w:cstheme="minorHAnsi"/>
        </w:rPr>
      </w:pPr>
      <w:r w:rsidRPr="00DA6592">
        <w:rPr>
          <w:rFonts w:asciiTheme="minorHAnsi" w:hAnsiTheme="minorHAnsi" w:cstheme="minorHAnsi"/>
        </w:rPr>
        <w:t xml:space="preserve">Contact the Codes and Standards Reach Codes Team at </w:t>
      </w:r>
      <w:hyperlink r:id="rId12" w:history="1">
        <w:r w:rsidRPr="00DA6592">
          <w:rPr>
            <w:rStyle w:val="Hyperlink"/>
            <w:rFonts w:asciiTheme="minorHAnsi" w:eastAsiaTheme="majorEastAsia" w:hAnsiTheme="minorHAnsi" w:cstheme="minorHAnsi"/>
          </w:rPr>
          <w:t>info@LocalEnergyCodes.com</w:t>
        </w:r>
      </w:hyperlink>
      <w:r w:rsidRPr="00DA6592">
        <w:rPr>
          <w:rFonts w:asciiTheme="minorHAnsi" w:hAnsiTheme="minorHAnsi" w:cstheme="minorHAnsi"/>
        </w:rPr>
        <w:t xml:space="preserve"> for additional information.</w:t>
      </w:r>
    </w:p>
    <w:p w14:paraId="622F5842" w14:textId="77777777" w:rsidR="007D4201" w:rsidRPr="00DA6592" w:rsidRDefault="007D4201" w:rsidP="00626C7D">
      <w:pPr>
        <w:spacing w:before="120"/>
        <w:rPr>
          <w:rFonts w:asciiTheme="minorHAnsi" w:hAnsiTheme="minorHAnsi" w:cstheme="minorHAnsi"/>
          <w:color w:val="3E474C"/>
        </w:rPr>
      </w:pPr>
    </w:p>
    <w:p w14:paraId="4D59B584" w14:textId="77777777" w:rsidR="007D4201" w:rsidRPr="00DA6592" w:rsidRDefault="007D4201" w:rsidP="00626C7D">
      <w:pPr>
        <w:spacing w:before="120"/>
        <w:rPr>
          <w:rFonts w:asciiTheme="minorHAnsi" w:hAnsiTheme="minorHAnsi" w:cstheme="minorHAnsi"/>
          <w:color w:val="3E474C"/>
        </w:rPr>
      </w:pPr>
    </w:p>
    <w:p w14:paraId="0595651E" w14:textId="77777777" w:rsidR="007D4201" w:rsidRPr="00DA6592" w:rsidRDefault="007D4201" w:rsidP="00626C7D">
      <w:pPr>
        <w:spacing w:before="120"/>
        <w:rPr>
          <w:rFonts w:asciiTheme="minorHAnsi" w:hAnsiTheme="minorHAnsi" w:cstheme="minorHAnsi"/>
          <w:color w:val="3E474C"/>
        </w:rPr>
      </w:pPr>
    </w:p>
    <w:p w14:paraId="4F54F369" w14:textId="77777777" w:rsidR="007D4201" w:rsidRPr="00DA6592" w:rsidRDefault="007D4201" w:rsidP="00626C7D">
      <w:pPr>
        <w:spacing w:before="120"/>
        <w:rPr>
          <w:rFonts w:asciiTheme="minorHAnsi" w:hAnsiTheme="minorHAnsi" w:cstheme="minorHAnsi"/>
          <w:color w:val="3E474C"/>
        </w:rPr>
      </w:pPr>
    </w:p>
    <w:p w14:paraId="090ACFE0" w14:textId="77777777" w:rsidR="007D4201" w:rsidRPr="00DA6592" w:rsidRDefault="007D4201" w:rsidP="00626C7D">
      <w:pPr>
        <w:spacing w:before="120"/>
        <w:rPr>
          <w:rFonts w:asciiTheme="minorHAnsi" w:hAnsiTheme="minorHAnsi" w:cstheme="minorHAnsi"/>
          <w:color w:val="3E474C"/>
        </w:rPr>
      </w:pPr>
    </w:p>
    <w:p w14:paraId="7ED577D9" w14:textId="77777777" w:rsidR="007D4201" w:rsidRPr="00DA6592" w:rsidRDefault="007D4201" w:rsidP="00626C7D">
      <w:pPr>
        <w:spacing w:before="120"/>
        <w:rPr>
          <w:rFonts w:asciiTheme="minorHAnsi" w:hAnsiTheme="minorHAnsi" w:cstheme="minorHAnsi"/>
          <w:color w:val="3E474C"/>
        </w:rPr>
      </w:pPr>
    </w:p>
    <w:p w14:paraId="5E63B7DE" w14:textId="77777777" w:rsidR="007D4201" w:rsidRPr="00DA6592" w:rsidRDefault="007D4201" w:rsidP="00626C7D">
      <w:pPr>
        <w:spacing w:before="120"/>
        <w:rPr>
          <w:rFonts w:asciiTheme="minorHAnsi" w:hAnsiTheme="minorHAnsi" w:cstheme="minorHAnsi"/>
          <w:color w:val="3E474C"/>
        </w:rPr>
      </w:pPr>
    </w:p>
    <w:p w14:paraId="32919930" w14:textId="77777777" w:rsidR="007D4201" w:rsidRPr="00DA6592" w:rsidRDefault="007D4201" w:rsidP="00626C7D">
      <w:pPr>
        <w:spacing w:before="120"/>
        <w:rPr>
          <w:rFonts w:asciiTheme="minorHAnsi" w:hAnsiTheme="minorHAnsi" w:cstheme="minorHAnsi"/>
          <w:color w:val="3E474C"/>
        </w:rPr>
      </w:pPr>
    </w:p>
    <w:p w14:paraId="16AEA29A" w14:textId="77777777" w:rsidR="007D4201" w:rsidRDefault="007D4201" w:rsidP="00626C7D">
      <w:pPr>
        <w:spacing w:before="120"/>
        <w:rPr>
          <w:rFonts w:asciiTheme="minorHAnsi" w:hAnsiTheme="minorHAnsi" w:cstheme="minorBidi"/>
          <w:color w:val="3E474C"/>
        </w:rPr>
      </w:pPr>
    </w:p>
    <w:p w14:paraId="727D7380" w14:textId="77777777" w:rsidR="00876A9F" w:rsidRDefault="00876A9F" w:rsidP="6EB262F3">
      <w:pPr>
        <w:spacing w:before="120"/>
        <w:rPr>
          <w:rFonts w:asciiTheme="minorHAnsi" w:hAnsiTheme="minorHAnsi" w:cstheme="minorBidi"/>
          <w:color w:val="3E474C"/>
        </w:rPr>
      </w:pPr>
    </w:p>
    <w:p w14:paraId="496B7FEB" w14:textId="77777777" w:rsidR="00876A9F" w:rsidRDefault="00876A9F" w:rsidP="6EB262F3">
      <w:pPr>
        <w:spacing w:before="120"/>
        <w:rPr>
          <w:rFonts w:asciiTheme="minorHAnsi" w:hAnsiTheme="minorHAnsi" w:cstheme="minorBidi"/>
          <w:color w:val="3E474C"/>
        </w:rPr>
      </w:pPr>
    </w:p>
    <w:p w14:paraId="3DB3D854" w14:textId="74EA5BE7" w:rsidR="00876A9F" w:rsidRPr="00DA6592" w:rsidRDefault="00876A9F" w:rsidP="00626C7D">
      <w:pPr>
        <w:spacing w:before="120"/>
        <w:rPr>
          <w:rFonts w:asciiTheme="minorHAnsi" w:hAnsiTheme="minorHAnsi" w:cstheme="minorHAnsi"/>
          <w:color w:val="3E474C"/>
        </w:rPr>
      </w:pPr>
    </w:p>
    <w:p w14:paraId="44A0B175" w14:textId="77777777" w:rsidR="007D4201" w:rsidRPr="00DA6592" w:rsidRDefault="007D4201" w:rsidP="00626C7D">
      <w:pPr>
        <w:spacing w:before="120"/>
        <w:rPr>
          <w:rFonts w:asciiTheme="minorHAnsi" w:hAnsiTheme="minorHAnsi" w:cstheme="minorHAnsi"/>
          <w:color w:val="3E474C"/>
        </w:rPr>
      </w:pPr>
    </w:p>
    <w:p w14:paraId="17DC6819" w14:textId="0F1808C0" w:rsidR="007D4201" w:rsidRPr="00DA6592" w:rsidRDefault="007D4201" w:rsidP="00626C7D">
      <w:pPr>
        <w:spacing w:before="120"/>
        <w:ind w:left="360" w:right="720"/>
        <w:rPr>
          <w:rFonts w:asciiTheme="minorHAnsi" w:eastAsia="Calibri" w:hAnsiTheme="minorHAnsi" w:cstheme="minorHAnsi"/>
          <w:color w:val="3E474C"/>
          <w:sz w:val="20"/>
          <w:szCs w:val="20"/>
        </w:rPr>
      </w:pPr>
      <w:r w:rsidRPr="00DA6592">
        <w:rPr>
          <w:rFonts w:asciiTheme="minorHAnsi" w:eastAsia="Calibri" w:hAnsiTheme="minorHAnsi" w:cstheme="minorHAnsi"/>
          <w:color w:val="3E474C"/>
          <w:sz w:val="20"/>
          <w:szCs w:val="20"/>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w:t>
      </w:r>
      <w:r w:rsidR="00863988" w:rsidRPr="00DA6592">
        <w:rPr>
          <w:rFonts w:asciiTheme="minorHAnsi" w:eastAsia="Calibri" w:hAnsiTheme="minorHAnsi" w:cstheme="minorHAnsi"/>
          <w:color w:val="3E474C"/>
          <w:sz w:val="20"/>
          <w:szCs w:val="20"/>
        </w:rPr>
        <w:t>n.</w:t>
      </w:r>
    </w:p>
    <w:p w14:paraId="057BB12D" w14:textId="77777777" w:rsidR="007D79E5" w:rsidRPr="00DA6592" w:rsidRDefault="007D79E5" w:rsidP="007D79E5">
      <w:pPr>
        <w:spacing w:after="160" w:line="259" w:lineRule="auto"/>
        <w:rPr>
          <w:rFonts w:asciiTheme="minorHAnsi" w:eastAsia="Calibri" w:hAnsiTheme="minorHAnsi" w:cstheme="minorHAnsi"/>
          <w:color w:val="3E474C"/>
          <w:sz w:val="20"/>
          <w:szCs w:val="20"/>
        </w:rPr>
      </w:pPr>
    </w:p>
    <w:p w14:paraId="19133C37" w14:textId="77777777" w:rsidR="007D79E5" w:rsidRPr="00DA6592" w:rsidRDefault="007D79E5" w:rsidP="007D79E5">
      <w:pPr>
        <w:pStyle w:val="Heading1"/>
        <w:jc w:val="center"/>
        <w:rPr>
          <w:rFonts w:asciiTheme="minorHAnsi" w:hAnsiTheme="minorHAnsi" w:cstheme="minorHAnsi"/>
        </w:rPr>
        <w:sectPr w:rsidR="007D79E5" w:rsidRPr="00DA6592" w:rsidSect="00446F10">
          <w:footerReference w:type="even" r:id="rId13"/>
          <w:footerReference w:type="default" r:id="rId14"/>
          <w:pgSz w:w="12240" w:h="15840"/>
          <w:pgMar w:top="1296" w:right="1080" w:bottom="1296" w:left="1080" w:header="720" w:footer="720" w:gutter="0"/>
          <w:pgNumType w:start="1"/>
          <w:cols w:space="720"/>
          <w:docGrid w:linePitch="360"/>
        </w:sectPr>
      </w:pPr>
    </w:p>
    <w:p w14:paraId="53438F70" w14:textId="4790EB12" w:rsidR="0044659C" w:rsidRPr="00DA6592" w:rsidRDefault="000A7CC5" w:rsidP="007D79E5">
      <w:pPr>
        <w:pStyle w:val="Heading1"/>
        <w:jc w:val="center"/>
        <w:rPr>
          <w:rFonts w:asciiTheme="minorHAnsi" w:hAnsiTheme="minorHAnsi" w:cstheme="minorHAnsi"/>
        </w:rPr>
      </w:pPr>
      <w:r w:rsidRPr="4B960788">
        <w:rPr>
          <w:rFonts w:asciiTheme="minorHAnsi" w:hAnsiTheme="minorHAnsi" w:cstheme="minorBidi"/>
        </w:rPr>
        <w:lastRenderedPageBreak/>
        <w:t xml:space="preserve">Single </w:t>
      </w:r>
      <w:r w:rsidR="0044659C" w:rsidRPr="4B960788">
        <w:rPr>
          <w:rFonts w:asciiTheme="minorHAnsi" w:hAnsiTheme="minorHAnsi" w:cstheme="minorBidi"/>
        </w:rPr>
        <w:t xml:space="preserve">Source Energy Margin for </w:t>
      </w:r>
      <w:r w:rsidR="003845F2" w:rsidRPr="4B960788">
        <w:rPr>
          <w:rFonts w:asciiTheme="minorHAnsi" w:hAnsiTheme="minorHAnsi" w:cstheme="minorBidi"/>
        </w:rPr>
        <w:t xml:space="preserve">Residential </w:t>
      </w:r>
      <w:r w:rsidR="0044659C" w:rsidRPr="4B960788">
        <w:rPr>
          <w:rFonts w:asciiTheme="minorHAnsi" w:hAnsiTheme="minorHAnsi" w:cstheme="minorBidi"/>
        </w:rPr>
        <w:t>New Construction</w:t>
      </w:r>
    </w:p>
    <w:p w14:paraId="625770EA" w14:textId="554C357A" w:rsidR="4B960788" w:rsidRDefault="4B960788" w:rsidP="4B960788">
      <w:pPr>
        <w:jc w:val="center"/>
        <w:rPr>
          <w:rFonts w:asciiTheme="minorHAnsi" w:hAnsiTheme="minorHAnsi" w:cstheme="minorBidi"/>
        </w:rPr>
      </w:pPr>
    </w:p>
    <w:p w14:paraId="677980AC" w14:textId="6D8BAFCE" w:rsidR="31F20FF9" w:rsidRDefault="31F20FF9" w:rsidP="4B960788">
      <w:pPr>
        <w:jc w:val="center"/>
      </w:pPr>
      <w:r w:rsidRPr="4B960788">
        <w:rPr>
          <w:rFonts w:asciiTheme="minorHAnsi" w:hAnsiTheme="minorHAnsi" w:cstheme="minorBidi"/>
        </w:rPr>
        <w:t>May 2024</w:t>
      </w:r>
    </w:p>
    <w:p w14:paraId="49C8BB08" w14:textId="77777777" w:rsidR="00413360" w:rsidRPr="007F3CC8" w:rsidRDefault="00413360" w:rsidP="007E77F9">
      <w:pPr>
        <w:rPr>
          <w:rFonts w:asciiTheme="minorHAnsi" w:hAnsiTheme="minorHAnsi" w:cstheme="minorHAnsi"/>
          <w:color w:val="3D728A"/>
        </w:rPr>
      </w:pPr>
    </w:p>
    <w:p w14:paraId="29D40B28" w14:textId="77777777" w:rsidR="008763C7" w:rsidRPr="00DA6592" w:rsidRDefault="008763C7" w:rsidP="00887E62">
      <w:pPr>
        <w:rPr>
          <w:rFonts w:asciiTheme="minorHAnsi" w:hAnsiTheme="minorHAnsi" w:cstheme="minorHAnsi"/>
        </w:rPr>
      </w:pPr>
    </w:p>
    <w:p w14:paraId="0DFD2D38" w14:textId="0FC97C72" w:rsidR="005768EC" w:rsidRPr="00DA6592" w:rsidRDefault="00E22B72" w:rsidP="00887E62">
      <w:pPr>
        <w:rPr>
          <w:rStyle w:val="CommentReference"/>
          <w:rFonts w:asciiTheme="minorHAnsi" w:eastAsia="MS Mincho" w:hAnsiTheme="minorHAnsi" w:cstheme="minorHAnsi"/>
          <w:color w:val="000000"/>
        </w:rPr>
      </w:pPr>
      <w:r>
        <w:rPr>
          <w:rFonts w:asciiTheme="minorHAnsi" w:hAnsiTheme="minorHAnsi" w:cstheme="minorHAnsi"/>
        </w:rPr>
        <w:t xml:space="preserve">The </w:t>
      </w:r>
      <w:r w:rsidRPr="00DA6592">
        <w:rPr>
          <w:rFonts w:asciiTheme="minorHAnsi" w:hAnsiTheme="minorHAnsi" w:cstheme="minorHAnsi"/>
        </w:rPr>
        <w:t>Single Source Energy Margin</w:t>
      </w:r>
      <w:r w:rsidR="00AA1E52" w:rsidRPr="00DA6592">
        <w:rPr>
          <w:rFonts w:asciiTheme="minorHAnsi" w:hAnsiTheme="minorHAnsi" w:cstheme="minorHAnsi"/>
        </w:rPr>
        <w:t xml:space="preserve"> establish</w:t>
      </w:r>
      <w:r>
        <w:rPr>
          <w:rFonts w:asciiTheme="minorHAnsi" w:hAnsiTheme="minorHAnsi" w:cstheme="minorHAnsi"/>
        </w:rPr>
        <w:t>es</w:t>
      </w:r>
      <w:r w:rsidR="00AA1E52" w:rsidRPr="00DA6592">
        <w:rPr>
          <w:rFonts w:asciiTheme="minorHAnsi" w:hAnsiTheme="minorHAnsi" w:cstheme="minorHAnsi"/>
        </w:rPr>
        <w:t xml:space="preserve"> </w:t>
      </w:r>
      <w:r w:rsidR="00B82CD7" w:rsidRPr="00DA6592">
        <w:rPr>
          <w:rFonts w:asciiTheme="minorHAnsi" w:hAnsiTheme="minorHAnsi" w:cstheme="minorHAnsi"/>
        </w:rPr>
        <w:t>a</w:t>
      </w:r>
      <w:r>
        <w:rPr>
          <w:rFonts w:asciiTheme="minorHAnsi" w:hAnsiTheme="minorHAnsi" w:cstheme="minorHAnsi"/>
        </w:rPr>
        <w:t xml:space="preserve"> residential new construction </w:t>
      </w:r>
      <w:r w:rsidR="00B82CD7" w:rsidRPr="00DA6592">
        <w:rPr>
          <w:rFonts w:asciiTheme="minorHAnsi" w:hAnsiTheme="minorHAnsi" w:cstheme="minorHAnsi"/>
        </w:rPr>
        <w:t>energy perf</w:t>
      </w:r>
      <w:r w:rsidR="00DF2474" w:rsidRPr="00DA6592">
        <w:rPr>
          <w:rFonts w:asciiTheme="minorHAnsi" w:hAnsiTheme="minorHAnsi" w:cstheme="minorHAnsi"/>
        </w:rPr>
        <w:t xml:space="preserve">ormance standard that </w:t>
      </w:r>
      <w:r w:rsidR="00B72285" w:rsidRPr="00DA6592">
        <w:rPr>
          <w:rFonts w:asciiTheme="minorHAnsi" w:hAnsiTheme="minorHAnsi" w:cstheme="minorHAnsi"/>
        </w:rPr>
        <w:t>w</w:t>
      </w:r>
      <w:r w:rsidR="00DF2474" w:rsidRPr="00DA6592">
        <w:rPr>
          <w:rFonts w:asciiTheme="minorHAnsi" w:hAnsiTheme="minorHAnsi" w:cstheme="minorHAnsi"/>
        </w:rPr>
        <w:t>oul</w:t>
      </w:r>
      <w:r w:rsidR="00C00292" w:rsidRPr="00DA6592">
        <w:rPr>
          <w:rFonts w:asciiTheme="minorHAnsi" w:hAnsiTheme="minorHAnsi" w:cstheme="minorHAnsi"/>
        </w:rPr>
        <w:t>d</w:t>
      </w:r>
      <w:r w:rsidR="00DF2474" w:rsidRPr="00DA6592">
        <w:rPr>
          <w:rFonts w:asciiTheme="minorHAnsi" w:hAnsiTheme="minorHAnsi" w:cstheme="minorHAnsi"/>
        </w:rPr>
        <w:t xml:space="preserve"> apply to </w:t>
      </w:r>
      <w:r>
        <w:rPr>
          <w:rFonts w:asciiTheme="minorHAnsi" w:hAnsiTheme="minorHAnsi" w:cstheme="minorHAnsi"/>
        </w:rPr>
        <w:t xml:space="preserve">both </w:t>
      </w:r>
      <w:r w:rsidR="00DF2474" w:rsidRPr="00DA6592">
        <w:rPr>
          <w:rFonts w:asciiTheme="minorHAnsi" w:hAnsiTheme="minorHAnsi" w:cstheme="minorHAnsi"/>
        </w:rPr>
        <w:t>all-electric and mixed-fuel buildings</w:t>
      </w:r>
      <w:r w:rsidR="00380526">
        <w:rPr>
          <w:rFonts w:asciiTheme="minorHAnsi" w:hAnsiTheme="minorHAnsi" w:cstheme="minorHAnsi"/>
        </w:rPr>
        <w:t xml:space="preserve">. This approach can be used to </w:t>
      </w:r>
      <w:r w:rsidR="005F5986" w:rsidRPr="00DA6592">
        <w:rPr>
          <w:rFonts w:asciiTheme="minorHAnsi" w:hAnsiTheme="minorHAnsi" w:cstheme="minorHAnsi"/>
        </w:rPr>
        <w:t>encourag</w:t>
      </w:r>
      <w:r w:rsidR="00380526">
        <w:rPr>
          <w:rFonts w:asciiTheme="minorHAnsi" w:hAnsiTheme="minorHAnsi" w:cstheme="minorHAnsi"/>
        </w:rPr>
        <w:t>e</w:t>
      </w:r>
      <w:r w:rsidR="005F5986" w:rsidRPr="00DA6592">
        <w:rPr>
          <w:rFonts w:asciiTheme="minorHAnsi" w:hAnsiTheme="minorHAnsi" w:cstheme="minorHAnsi"/>
        </w:rPr>
        <w:t xml:space="preserve"> all-electric construction </w:t>
      </w:r>
      <w:r w:rsidR="008C084A" w:rsidRPr="00DA6592">
        <w:rPr>
          <w:rFonts w:asciiTheme="minorHAnsi" w:hAnsiTheme="minorHAnsi" w:cstheme="minorHAnsi"/>
        </w:rPr>
        <w:t xml:space="preserve">due to </w:t>
      </w:r>
      <w:r w:rsidR="00380526">
        <w:rPr>
          <w:rFonts w:asciiTheme="minorHAnsi" w:hAnsiTheme="minorHAnsi" w:cstheme="minorHAnsi"/>
        </w:rPr>
        <w:t>the</w:t>
      </w:r>
      <w:r w:rsidR="008C084A" w:rsidRPr="00DA6592">
        <w:rPr>
          <w:rFonts w:asciiTheme="minorHAnsi" w:hAnsiTheme="minorHAnsi" w:cstheme="minorHAnsi"/>
        </w:rPr>
        <w:t xml:space="preserve"> superior energy performance</w:t>
      </w:r>
      <w:r w:rsidR="00380526">
        <w:rPr>
          <w:rFonts w:asciiTheme="minorHAnsi" w:hAnsiTheme="minorHAnsi" w:cstheme="minorHAnsi"/>
        </w:rPr>
        <w:t xml:space="preserve"> of electric </w:t>
      </w:r>
      <w:r w:rsidR="004E7C47">
        <w:rPr>
          <w:rFonts w:asciiTheme="minorHAnsi" w:hAnsiTheme="minorHAnsi" w:cstheme="minorHAnsi"/>
        </w:rPr>
        <w:t>heating and water heating systems</w:t>
      </w:r>
      <w:r w:rsidR="00C953BA" w:rsidRPr="00DA6592">
        <w:rPr>
          <w:rFonts w:asciiTheme="minorHAnsi" w:hAnsiTheme="minorHAnsi" w:cstheme="minorHAnsi"/>
        </w:rPr>
        <w:t>.</w:t>
      </w:r>
      <w:r w:rsidR="00AA1E52" w:rsidRPr="00DA6592">
        <w:rPr>
          <w:rFonts w:asciiTheme="minorHAnsi" w:hAnsiTheme="minorHAnsi" w:cstheme="minorHAnsi"/>
        </w:rPr>
        <w:t xml:space="preserve"> The standard appl</w:t>
      </w:r>
      <w:r w:rsidR="00903A15" w:rsidRPr="00DA6592">
        <w:rPr>
          <w:rFonts w:asciiTheme="minorHAnsi" w:hAnsiTheme="minorHAnsi" w:cstheme="minorHAnsi"/>
        </w:rPr>
        <w:t>ie</w:t>
      </w:r>
      <w:r w:rsidR="004E7C47">
        <w:rPr>
          <w:rFonts w:asciiTheme="minorHAnsi" w:hAnsiTheme="minorHAnsi" w:cstheme="minorHAnsi"/>
        </w:rPr>
        <w:t>s</w:t>
      </w:r>
      <w:r w:rsidR="00AA1E52" w:rsidRPr="00DA6592">
        <w:rPr>
          <w:rFonts w:asciiTheme="minorHAnsi" w:hAnsiTheme="minorHAnsi" w:cstheme="minorHAnsi"/>
        </w:rPr>
        <w:t xml:space="preserve"> to newly constru</w:t>
      </w:r>
      <w:r w:rsidR="00C00292" w:rsidRPr="00DA6592">
        <w:rPr>
          <w:rFonts w:asciiTheme="minorHAnsi" w:hAnsiTheme="minorHAnsi" w:cstheme="minorHAnsi"/>
        </w:rPr>
        <w:t>c</w:t>
      </w:r>
      <w:r w:rsidR="00AA1E52" w:rsidRPr="00DA6592">
        <w:rPr>
          <w:rFonts w:asciiTheme="minorHAnsi" w:hAnsiTheme="minorHAnsi" w:cstheme="minorHAnsi"/>
        </w:rPr>
        <w:t>ted single</w:t>
      </w:r>
      <w:r w:rsidR="004363CE">
        <w:rPr>
          <w:rFonts w:asciiTheme="minorHAnsi" w:hAnsiTheme="minorHAnsi" w:cstheme="minorHAnsi"/>
        </w:rPr>
        <w:t>-</w:t>
      </w:r>
      <w:r w:rsidR="00AA1E52" w:rsidRPr="00DA6592">
        <w:rPr>
          <w:rFonts w:asciiTheme="minorHAnsi" w:hAnsiTheme="minorHAnsi" w:cstheme="minorHAnsi"/>
        </w:rPr>
        <w:t xml:space="preserve">family buildings </w:t>
      </w:r>
      <w:r w:rsidR="00497CB1" w:rsidRPr="00DA6592">
        <w:rPr>
          <w:rFonts w:asciiTheme="minorHAnsi" w:hAnsiTheme="minorHAnsi" w:cstheme="minorHAnsi"/>
        </w:rPr>
        <w:t xml:space="preserve">(included </w:t>
      </w:r>
      <w:r w:rsidR="00AA1E52" w:rsidRPr="00DA6592">
        <w:rPr>
          <w:rFonts w:asciiTheme="minorHAnsi" w:hAnsiTheme="minorHAnsi" w:cstheme="minorHAnsi"/>
        </w:rPr>
        <w:t>duplexes</w:t>
      </w:r>
      <w:r w:rsidR="002931F4">
        <w:rPr>
          <w:rFonts w:asciiTheme="minorHAnsi" w:hAnsiTheme="minorHAnsi" w:cstheme="minorHAnsi"/>
        </w:rPr>
        <w:t xml:space="preserve"> and townhome</w:t>
      </w:r>
      <w:r w:rsidR="007B6569">
        <w:rPr>
          <w:rFonts w:asciiTheme="minorHAnsi" w:hAnsiTheme="minorHAnsi" w:cstheme="minorHAnsi"/>
        </w:rPr>
        <w:t>s</w:t>
      </w:r>
      <w:r w:rsidR="00497CB1" w:rsidRPr="00DA6592">
        <w:rPr>
          <w:rFonts w:asciiTheme="minorHAnsi" w:hAnsiTheme="minorHAnsi" w:cstheme="minorHAnsi"/>
        </w:rPr>
        <w:t>)</w:t>
      </w:r>
      <w:r w:rsidR="002931F4">
        <w:rPr>
          <w:rFonts w:asciiTheme="minorHAnsi" w:hAnsiTheme="minorHAnsi" w:cstheme="minorHAnsi"/>
        </w:rPr>
        <w:t xml:space="preserve"> and </w:t>
      </w:r>
      <w:r w:rsidR="00AA1E52" w:rsidRPr="00DA6592">
        <w:rPr>
          <w:rFonts w:asciiTheme="minorHAnsi" w:hAnsiTheme="minorHAnsi" w:cstheme="minorHAnsi"/>
        </w:rPr>
        <w:t>low-rise (less than three habitable stories)</w:t>
      </w:r>
      <w:r w:rsidR="009728DC" w:rsidRPr="00DA6592">
        <w:rPr>
          <w:rFonts w:asciiTheme="minorHAnsi" w:hAnsiTheme="minorHAnsi" w:cstheme="minorHAnsi"/>
        </w:rPr>
        <w:t xml:space="preserve"> multifamily buildings</w:t>
      </w:r>
      <w:r w:rsidR="0025364F" w:rsidRPr="00DA6592">
        <w:rPr>
          <w:rStyle w:val="FootnoteReference"/>
          <w:rFonts w:asciiTheme="minorHAnsi" w:hAnsiTheme="minorHAnsi" w:cstheme="minorHAnsi"/>
        </w:rPr>
        <w:footnoteReference w:id="2"/>
      </w:r>
      <w:r w:rsidR="002931F4">
        <w:rPr>
          <w:rFonts w:asciiTheme="minorHAnsi" w:hAnsiTheme="minorHAnsi" w:cstheme="minorHAnsi"/>
        </w:rPr>
        <w:t>.</w:t>
      </w:r>
      <w:r w:rsidR="00FB070A">
        <w:rPr>
          <w:rFonts w:asciiTheme="minorHAnsi" w:hAnsiTheme="minorHAnsi" w:cstheme="minorHAnsi"/>
        </w:rPr>
        <w:t xml:space="preserve"> A </w:t>
      </w:r>
      <w:hyperlink r:id="rId15" w:history="1">
        <w:r w:rsidR="00FB070A" w:rsidRPr="00CB3052">
          <w:rPr>
            <w:rStyle w:val="Hyperlink"/>
            <w:rFonts w:asciiTheme="minorHAnsi" w:hAnsiTheme="minorHAnsi" w:cstheme="minorHAnsi"/>
          </w:rPr>
          <w:t>model ordinance template</w:t>
        </w:r>
      </w:hyperlink>
      <w:r w:rsidR="00FB070A">
        <w:rPr>
          <w:rFonts w:asciiTheme="minorHAnsi" w:hAnsiTheme="minorHAnsi" w:cstheme="minorHAnsi"/>
        </w:rPr>
        <w:t xml:space="preserve"> is available at LocalEnergyCodes.com.</w:t>
      </w:r>
    </w:p>
    <w:p w14:paraId="57BFE0C9" w14:textId="77777777" w:rsidR="00E23B64" w:rsidRPr="00DA6592" w:rsidRDefault="00E23B64" w:rsidP="00887E62">
      <w:pPr>
        <w:rPr>
          <w:rFonts w:asciiTheme="minorHAnsi" w:hAnsiTheme="minorHAnsi" w:cstheme="minorHAnsi"/>
        </w:rPr>
      </w:pPr>
    </w:p>
    <w:p w14:paraId="35B88EC0" w14:textId="762E27D1" w:rsidR="00B2366F" w:rsidRPr="00DA6592" w:rsidRDefault="00E23B64" w:rsidP="00887E62">
      <w:pPr>
        <w:rPr>
          <w:rFonts w:asciiTheme="minorHAnsi" w:hAnsiTheme="minorHAnsi" w:cstheme="minorHAnsi"/>
        </w:rPr>
      </w:pPr>
      <w:r w:rsidRPr="00DA6592">
        <w:rPr>
          <w:rFonts w:asciiTheme="minorHAnsi" w:hAnsiTheme="minorHAnsi" w:cstheme="minorHAnsi"/>
        </w:rPr>
        <w:t xml:space="preserve">Under the </w:t>
      </w:r>
      <w:r w:rsidR="00312E31" w:rsidRPr="00DA6592">
        <w:rPr>
          <w:rFonts w:asciiTheme="minorHAnsi" w:hAnsiTheme="minorHAnsi" w:cstheme="minorHAnsi"/>
        </w:rPr>
        <w:t xml:space="preserve">California Energy Code (the </w:t>
      </w:r>
      <w:r w:rsidRPr="00DA6592">
        <w:rPr>
          <w:rFonts w:asciiTheme="minorHAnsi" w:hAnsiTheme="minorHAnsi" w:cstheme="minorHAnsi"/>
        </w:rPr>
        <w:t>State Code</w:t>
      </w:r>
      <w:r w:rsidR="00312E31" w:rsidRPr="00DA6592">
        <w:rPr>
          <w:rFonts w:asciiTheme="minorHAnsi" w:hAnsiTheme="minorHAnsi" w:cstheme="minorHAnsi"/>
        </w:rPr>
        <w:t>)</w:t>
      </w:r>
      <w:r w:rsidRPr="00DA6592">
        <w:rPr>
          <w:rFonts w:asciiTheme="minorHAnsi" w:hAnsiTheme="minorHAnsi" w:cstheme="minorHAnsi"/>
        </w:rPr>
        <w:t xml:space="preserve">, new buildings must meet energy requirements including performance targets. </w:t>
      </w:r>
      <w:r w:rsidR="00D704F6">
        <w:rPr>
          <w:rFonts w:asciiTheme="minorHAnsi" w:hAnsiTheme="minorHAnsi" w:cstheme="minorHAnsi"/>
        </w:rPr>
        <w:t>Permit a</w:t>
      </w:r>
      <w:r w:rsidRPr="00DA6592">
        <w:rPr>
          <w:rFonts w:asciiTheme="minorHAnsi" w:hAnsiTheme="minorHAnsi" w:cstheme="minorHAnsi"/>
        </w:rPr>
        <w:t xml:space="preserve">pplicants must demonstrate, using State-approved modeling software, that the proposed design will not use more energy than allowed under the State Code. </w:t>
      </w:r>
      <w:r w:rsidR="00B554D2" w:rsidRPr="00DA6592">
        <w:rPr>
          <w:rFonts w:asciiTheme="minorHAnsi" w:hAnsiTheme="minorHAnsi" w:cstheme="minorHAnsi"/>
        </w:rPr>
        <w:t xml:space="preserve">The energy budget assumes </w:t>
      </w:r>
      <w:r w:rsidR="00D704F6">
        <w:rPr>
          <w:rFonts w:asciiTheme="minorHAnsi" w:hAnsiTheme="minorHAnsi" w:cstheme="minorHAnsi"/>
        </w:rPr>
        <w:t xml:space="preserve">the design will include some </w:t>
      </w:r>
      <w:r w:rsidR="00B554D2" w:rsidRPr="00DA6592">
        <w:rPr>
          <w:rFonts w:asciiTheme="minorHAnsi" w:hAnsiTheme="minorHAnsi" w:cstheme="minorHAnsi"/>
        </w:rPr>
        <w:t>solar photovoltaic panels (exemptions exist for very small loads and buildings with limited solar access)</w:t>
      </w:r>
      <w:r w:rsidR="00E57CD4" w:rsidRPr="00DA6592">
        <w:rPr>
          <w:rFonts w:asciiTheme="minorHAnsi" w:hAnsiTheme="minorHAnsi" w:cstheme="minorHAnsi"/>
        </w:rPr>
        <w:t xml:space="preserve"> and that one of the two heating appliances (water</w:t>
      </w:r>
      <w:r w:rsidR="00D704F6">
        <w:rPr>
          <w:rFonts w:asciiTheme="minorHAnsi" w:hAnsiTheme="minorHAnsi" w:cstheme="minorHAnsi"/>
        </w:rPr>
        <w:t xml:space="preserve"> heating</w:t>
      </w:r>
      <w:r w:rsidR="00E57CD4" w:rsidRPr="00DA6592">
        <w:rPr>
          <w:rFonts w:asciiTheme="minorHAnsi" w:hAnsiTheme="minorHAnsi" w:cstheme="minorHAnsi"/>
        </w:rPr>
        <w:t xml:space="preserve"> or space heat</w:t>
      </w:r>
      <w:r w:rsidR="00D704F6">
        <w:rPr>
          <w:rFonts w:asciiTheme="minorHAnsi" w:hAnsiTheme="minorHAnsi" w:cstheme="minorHAnsi"/>
        </w:rPr>
        <w:t>ing</w:t>
      </w:r>
      <w:r w:rsidR="00E57CD4" w:rsidRPr="00DA6592">
        <w:rPr>
          <w:rFonts w:asciiTheme="minorHAnsi" w:hAnsiTheme="minorHAnsi" w:cstheme="minorHAnsi"/>
        </w:rPr>
        <w:t xml:space="preserve">) is a gas </w:t>
      </w:r>
      <w:proofErr w:type="gramStart"/>
      <w:r w:rsidR="00E57CD4" w:rsidRPr="00DA6592">
        <w:rPr>
          <w:rFonts w:asciiTheme="minorHAnsi" w:hAnsiTheme="minorHAnsi" w:cstheme="minorHAnsi"/>
        </w:rPr>
        <w:t>appliance</w:t>
      </w:r>
      <w:proofErr w:type="gramEnd"/>
      <w:r w:rsidR="00E57CD4" w:rsidRPr="00DA6592">
        <w:rPr>
          <w:rFonts w:asciiTheme="minorHAnsi" w:hAnsiTheme="minorHAnsi" w:cstheme="minorHAnsi"/>
        </w:rPr>
        <w:t xml:space="preserve"> and the other is an electric heat pump</w:t>
      </w:r>
      <w:r w:rsidR="00B554D2" w:rsidRPr="00DA6592">
        <w:rPr>
          <w:rFonts w:asciiTheme="minorHAnsi" w:hAnsiTheme="minorHAnsi" w:cstheme="minorHAnsi"/>
        </w:rPr>
        <w:t>.</w:t>
      </w:r>
      <w:r w:rsidR="006507F9" w:rsidRPr="00DA6592">
        <w:rPr>
          <w:rFonts w:asciiTheme="minorHAnsi" w:hAnsiTheme="minorHAnsi" w:cstheme="minorHAnsi"/>
        </w:rPr>
        <w:t xml:space="preserve"> </w:t>
      </w:r>
      <w:r w:rsidR="00B2366F" w:rsidRPr="00DA6592">
        <w:rPr>
          <w:rFonts w:asciiTheme="minorHAnsi" w:hAnsiTheme="minorHAnsi" w:cstheme="minorHAnsi"/>
        </w:rPr>
        <w:t>It is important to note that heat pump</w:t>
      </w:r>
      <w:r w:rsidR="00B327A0" w:rsidRPr="00DA6592">
        <w:rPr>
          <w:rFonts w:asciiTheme="minorHAnsi" w:hAnsiTheme="minorHAnsi" w:cstheme="minorHAnsi"/>
        </w:rPr>
        <w:t>s</w:t>
      </w:r>
      <w:r w:rsidR="00B2366F" w:rsidRPr="00DA6592">
        <w:rPr>
          <w:rFonts w:asciiTheme="minorHAnsi" w:hAnsiTheme="minorHAnsi" w:cstheme="minorHAnsi"/>
        </w:rPr>
        <w:t xml:space="preserve"> </w:t>
      </w:r>
      <w:r w:rsidR="00B327A0" w:rsidRPr="00DA6592">
        <w:rPr>
          <w:rFonts w:asciiTheme="minorHAnsi" w:hAnsiTheme="minorHAnsi" w:cstheme="minorHAnsi"/>
        </w:rPr>
        <w:t>are</w:t>
      </w:r>
      <w:r w:rsidR="00B2366F" w:rsidRPr="00DA6592">
        <w:rPr>
          <w:rFonts w:asciiTheme="minorHAnsi" w:hAnsiTheme="minorHAnsi" w:cstheme="minorHAnsi"/>
        </w:rPr>
        <w:t xml:space="preserve"> not a requirement; gas units are permitted if the design employs </w:t>
      </w:r>
      <w:r w:rsidR="00337172">
        <w:rPr>
          <w:rFonts w:asciiTheme="minorHAnsi" w:hAnsiTheme="minorHAnsi" w:cstheme="minorHAnsi"/>
        </w:rPr>
        <w:t xml:space="preserve">additional </w:t>
      </w:r>
      <w:r w:rsidR="00B2366F" w:rsidRPr="00DA6592">
        <w:rPr>
          <w:rFonts w:asciiTheme="minorHAnsi" w:hAnsiTheme="minorHAnsi" w:cstheme="minorHAnsi"/>
        </w:rPr>
        <w:t xml:space="preserve">measures to offset the increased energy use of the gas appliance. </w:t>
      </w:r>
      <w:r w:rsidR="004570D0" w:rsidRPr="00DA6592">
        <w:rPr>
          <w:rFonts w:asciiTheme="minorHAnsi" w:hAnsiTheme="minorHAnsi" w:cstheme="minorHAnsi"/>
        </w:rPr>
        <w:t>And although the State Code does not regulate ranges and dryers</w:t>
      </w:r>
      <w:r w:rsidR="00325363" w:rsidRPr="00DA6592">
        <w:rPr>
          <w:rFonts w:asciiTheme="minorHAnsi" w:hAnsiTheme="minorHAnsi" w:cstheme="minorHAnsi"/>
        </w:rPr>
        <w:t>,</w:t>
      </w:r>
      <w:r w:rsidR="004570D0" w:rsidRPr="00DA6592">
        <w:rPr>
          <w:rFonts w:asciiTheme="minorHAnsi" w:hAnsiTheme="minorHAnsi" w:cstheme="minorHAnsi"/>
        </w:rPr>
        <w:t xml:space="preserve"> it does require that </w:t>
      </w:r>
      <w:r w:rsidR="005407CB" w:rsidRPr="00DA6592">
        <w:rPr>
          <w:rFonts w:asciiTheme="minorHAnsi" w:hAnsiTheme="minorHAnsi" w:cstheme="minorHAnsi"/>
        </w:rPr>
        <w:t xml:space="preserve">new homes with </w:t>
      </w:r>
      <w:r w:rsidR="004570D0" w:rsidRPr="00DA6592">
        <w:rPr>
          <w:rFonts w:asciiTheme="minorHAnsi" w:hAnsiTheme="minorHAnsi" w:cstheme="minorHAnsi"/>
        </w:rPr>
        <w:t xml:space="preserve">natural gas appliances be prewired for </w:t>
      </w:r>
      <w:r w:rsidR="005407CB" w:rsidRPr="00DA6592">
        <w:rPr>
          <w:rFonts w:asciiTheme="minorHAnsi" w:hAnsiTheme="minorHAnsi" w:cstheme="minorHAnsi"/>
        </w:rPr>
        <w:t xml:space="preserve">their future </w:t>
      </w:r>
      <w:r w:rsidR="004570D0" w:rsidRPr="00DA6592">
        <w:rPr>
          <w:rFonts w:asciiTheme="minorHAnsi" w:hAnsiTheme="minorHAnsi" w:cstheme="minorHAnsi"/>
        </w:rPr>
        <w:t>conversion to electric appliances</w:t>
      </w:r>
      <w:r w:rsidR="00325363" w:rsidRPr="00DA6592">
        <w:rPr>
          <w:rFonts w:asciiTheme="minorHAnsi" w:hAnsiTheme="minorHAnsi" w:cstheme="minorHAnsi"/>
        </w:rPr>
        <w:t>.</w:t>
      </w:r>
    </w:p>
    <w:p w14:paraId="080E2831" w14:textId="77777777" w:rsidR="00E23B64" w:rsidRPr="00DA6592" w:rsidRDefault="00E23B64" w:rsidP="00887E62">
      <w:pPr>
        <w:rPr>
          <w:rFonts w:asciiTheme="minorHAnsi" w:hAnsiTheme="minorHAnsi" w:cstheme="minorHAnsi"/>
        </w:rPr>
      </w:pPr>
    </w:p>
    <w:p w14:paraId="2228A543" w14:textId="05B76866" w:rsidR="00E23B64" w:rsidRPr="00DA6592" w:rsidRDefault="00E23B64" w:rsidP="00887E62">
      <w:pPr>
        <w:rPr>
          <w:rFonts w:asciiTheme="minorHAnsi" w:hAnsiTheme="minorHAnsi" w:cstheme="minorHAnsi"/>
        </w:rPr>
      </w:pPr>
      <w:r w:rsidRPr="00DA6592">
        <w:rPr>
          <w:rFonts w:asciiTheme="minorHAnsi" w:hAnsiTheme="minorHAnsi" w:cstheme="minorHAnsi"/>
        </w:rPr>
        <w:t>A</w:t>
      </w:r>
      <w:r w:rsidR="00580C85">
        <w:rPr>
          <w:rFonts w:asciiTheme="minorHAnsi" w:hAnsiTheme="minorHAnsi" w:cstheme="minorHAnsi"/>
        </w:rPr>
        <w:t>dding a</w:t>
      </w:r>
      <w:r w:rsidRPr="00DA6592">
        <w:rPr>
          <w:rFonts w:asciiTheme="minorHAnsi" w:hAnsiTheme="minorHAnsi" w:cstheme="minorHAnsi"/>
        </w:rPr>
        <w:t xml:space="preserve"> more stringent performance requirement set</w:t>
      </w:r>
      <w:r w:rsidR="00580C85">
        <w:rPr>
          <w:rFonts w:asciiTheme="minorHAnsi" w:hAnsiTheme="minorHAnsi" w:cstheme="minorHAnsi"/>
        </w:rPr>
        <w:t>s</w:t>
      </w:r>
      <w:r w:rsidRPr="00DA6592">
        <w:rPr>
          <w:rFonts w:asciiTheme="minorHAnsi" w:hAnsiTheme="minorHAnsi" w:cstheme="minorHAnsi"/>
        </w:rPr>
        <w:t xml:space="preserve"> the energy budget at a level that assumes both heating appliances are electric heat pumps. </w:t>
      </w:r>
      <w:r w:rsidR="00BB1098" w:rsidRPr="00DA6592">
        <w:rPr>
          <w:rFonts w:asciiTheme="minorHAnsi" w:hAnsiTheme="minorHAnsi" w:cstheme="minorHAnsi"/>
        </w:rPr>
        <w:t>Because heat pumps are much more efficient than gas appliances</w:t>
      </w:r>
      <w:r w:rsidR="00BB1098" w:rsidRPr="00DA6592">
        <w:rPr>
          <w:rStyle w:val="FootnoteReference"/>
          <w:rFonts w:asciiTheme="minorHAnsi" w:hAnsiTheme="minorHAnsi" w:cstheme="minorHAnsi"/>
        </w:rPr>
        <w:footnoteReference w:id="3"/>
      </w:r>
      <w:r w:rsidR="00BB1098" w:rsidRPr="00DA6592">
        <w:rPr>
          <w:rFonts w:asciiTheme="minorHAnsi" w:hAnsiTheme="minorHAnsi" w:cstheme="minorHAnsi"/>
        </w:rPr>
        <w:t>, a mixed-fuel home would need to employ other advanced energy measures</w:t>
      </w:r>
      <w:r w:rsidR="003D2554">
        <w:rPr>
          <w:rFonts w:asciiTheme="minorHAnsi" w:hAnsiTheme="minorHAnsi" w:cstheme="minorHAnsi"/>
        </w:rPr>
        <w:t xml:space="preserve"> to comply</w:t>
      </w:r>
      <w:r w:rsidR="00BB1098" w:rsidRPr="00DA6592">
        <w:rPr>
          <w:rFonts w:asciiTheme="minorHAnsi" w:hAnsiTheme="minorHAnsi" w:cstheme="minorHAnsi"/>
        </w:rPr>
        <w:t>, such as additional efficiency, additional solar photovoltaic (PV) capacity</w:t>
      </w:r>
      <w:r w:rsidR="00EF6C11">
        <w:rPr>
          <w:rFonts w:asciiTheme="minorHAnsi" w:hAnsiTheme="minorHAnsi" w:cstheme="minorHAnsi"/>
        </w:rPr>
        <w:t>,</w:t>
      </w:r>
      <w:r w:rsidR="00BB1098" w:rsidRPr="00DA6592">
        <w:rPr>
          <w:rFonts w:asciiTheme="minorHAnsi" w:hAnsiTheme="minorHAnsi" w:cstheme="minorHAnsi"/>
        </w:rPr>
        <w:t xml:space="preserve"> and battery storage. </w:t>
      </w:r>
      <w:r w:rsidRPr="00DA6592">
        <w:rPr>
          <w:rFonts w:asciiTheme="minorHAnsi" w:hAnsiTheme="minorHAnsi" w:cstheme="minorHAnsi"/>
        </w:rPr>
        <w:t>This encourage</w:t>
      </w:r>
      <w:r w:rsidR="003D2554">
        <w:rPr>
          <w:rFonts w:asciiTheme="minorHAnsi" w:hAnsiTheme="minorHAnsi" w:cstheme="minorHAnsi"/>
        </w:rPr>
        <w:t>s</w:t>
      </w:r>
      <w:r w:rsidRPr="00DA6592">
        <w:rPr>
          <w:rFonts w:asciiTheme="minorHAnsi" w:hAnsiTheme="minorHAnsi" w:cstheme="minorHAnsi"/>
        </w:rPr>
        <w:t xml:space="preserve">, but </w:t>
      </w:r>
      <w:r w:rsidR="003D2554">
        <w:rPr>
          <w:rFonts w:asciiTheme="minorHAnsi" w:hAnsiTheme="minorHAnsi" w:cstheme="minorHAnsi"/>
        </w:rPr>
        <w:t xml:space="preserve">does </w:t>
      </w:r>
      <w:r w:rsidRPr="00DA6592">
        <w:rPr>
          <w:rFonts w:asciiTheme="minorHAnsi" w:hAnsiTheme="minorHAnsi" w:cstheme="minorHAnsi"/>
        </w:rPr>
        <w:t>not require, all-electric construction and ensure</w:t>
      </w:r>
      <w:r w:rsidR="003D2554">
        <w:rPr>
          <w:rFonts w:asciiTheme="minorHAnsi" w:hAnsiTheme="minorHAnsi" w:cstheme="minorHAnsi"/>
        </w:rPr>
        <w:t>s</w:t>
      </w:r>
      <w:r w:rsidRPr="00DA6592">
        <w:rPr>
          <w:rFonts w:asciiTheme="minorHAnsi" w:hAnsiTheme="minorHAnsi" w:cstheme="minorHAnsi"/>
        </w:rPr>
        <w:t xml:space="preserve"> that mixed-fuel buildings </w:t>
      </w:r>
      <w:r w:rsidR="003D2554">
        <w:rPr>
          <w:rFonts w:asciiTheme="minorHAnsi" w:hAnsiTheme="minorHAnsi" w:cstheme="minorHAnsi"/>
        </w:rPr>
        <w:t>include</w:t>
      </w:r>
      <w:r w:rsidR="003D2554" w:rsidRPr="00DA6592">
        <w:rPr>
          <w:rFonts w:asciiTheme="minorHAnsi" w:hAnsiTheme="minorHAnsi" w:cstheme="minorHAnsi"/>
        </w:rPr>
        <w:t xml:space="preserve"> </w:t>
      </w:r>
      <w:r w:rsidRPr="00DA6592">
        <w:rPr>
          <w:rFonts w:asciiTheme="minorHAnsi" w:hAnsiTheme="minorHAnsi" w:cstheme="minorHAnsi"/>
        </w:rPr>
        <w:t xml:space="preserve">additional measures </w:t>
      </w:r>
      <w:r w:rsidR="001D29C4" w:rsidRPr="00DA6592">
        <w:rPr>
          <w:rFonts w:asciiTheme="minorHAnsi" w:hAnsiTheme="minorHAnsi" w:cstheme="minorHAnsi"/>
        </w:rPr>
        <w:t>t</w:t>
      </w:r>
      <w:r w:rsidR="000C1D0D" w:rsidRPr="00DA6592">
        <w:rPr>
          <w:rFonts w:asciiTheme="minorHAnsi" w:hAnsiTheme="minorHAnsi" w:cstheme="minorHAnsi"/>
        </w:rPr>
        <w:t>o</w:t>
      </w:r>
      <w:r w:rsidR="001D29C4" w:rsidRPr="00DA6592">
        <w:rPr>
          <w:rFonts w:asciiTheme="minorHAnsi" w:hAnsiTheme="minorHAnsi" w:cstheme="minorHAnsi"/>
        </w:rPr>
        <w:t xml:space="preserve"> </w:t>
      </w:r>
      <w:r w:rsidRPr="00DA6592">
        <w:rPr>
          <w:rFonts w:asciiTheme="minorHAnsi" w:hAnsiTheme="minorHAnsi" w:cstheme="minorHAnsi"/>
        </w:rPr>
        <w:t>reduce carbon emissions.</w:t>
      </w:r>
    </w:p>
    <w:p w14:paraId="53091A7E" w14:textId="77777777" w:rsidR="00BF06EA" w:rsidRPr="00DA6592" w:rsidRDefault="00BF06EA" w:rsidP="00887E62">
      <w:pPr>
        <w:rPr>
          <w:rFonts w:asciiTheme="minorHAnsi" w:hAnsiTheme="minorHAnsi" w:cstheme="minorHAnsi"/>
        </w:rPr>
      </w:pPr>
    </w:p>
    <w:p w14:paraId="4367E061" w14:textId="6B9A36D4" w:rsidR="00E23B64" w:rsidRPr="00DA6592" w:rsidRDefault="00E23B64" w:rsidP="00887E62">
      <w:pPr>
        <w:rPr>
          <w:rFonts w:asciiTheme="minorHAnsi" w:hAnsiTheme="minorHAnsi" w:cstheme="minorBidi"/>
        </w:rPr>
      </w:pPr>
      <w:r w:rsidRPr="623E5710">
        <w:rPr>
          <w:rFonts w:asciiTheme="minorHAnsi" w:hAnsiTheme="minorHAnsi" w:cstheme="minorBidi"/>
        </w:rPr>
        <w:t xml:space="preserve">Statewide </w:t>
      </w:r>
      <w:r w:rsidR="00FC67A9" w:rsidRPr="623E5710">
        <w:rPr>
          <w:rFonts w:asciiTheme="minorHAnsi" w:hAnsiTheme="minorHAnsi" w:cstheme="minorBidi"/>
        </w:rPr>
        <w:t>Reach Code Cost Effectiveness</w:t>
      </w:r>
      <w:r w:rsidRPr="623E5710">
        <w:rPr>
          <w:rFonts w:asciiTheme="minorHAnsi" w:hAnsiTheme="minorHAnsi" w:cstheme="minorBidi"/>
        </w:rPr>
        <w:t xml:space="preserve"> studies</w:t>
      </w:r>
      <w:r w:rsidR="000A72F8" w:rsidRPr="623E5710">
        <w:rPr>
          <w:rStyle w:val="FootnoteReference"/>
          <w:rFonts w:asciiTheme="minorHAnsi" w:hAnsiTheme="minorHAnsi" w:cstheme="minorBidi"/>
        </w:rPr>
        <w:footnoteReference w:id="4"/>
      </w:r>
      <w:r w:rsidRPr="623E5710">
        <w:rPr>
          <w:rFonts w:asciiTheme="minorHAnsi" w:hAnsiTheme="minorHAnsi" w:cstheme="minorBidi"/>
        </w:rPr>
        <w:t xml:space="preserve"> have found that </w:t>
      </w:r>
      <w:r w:rsidR="0004701A" w:rsidRPr="623E5710">
        <w:rPr>
          <w:rFonts w:asciiTheme="minorHAnsi" w:hAnsiTheme="minorHAnsi" w:cstheme="minorBidi"/>
        </w:rPr>
        <w:t>higher</w:t>
      </w:r>
      <w:r w:rsidRPr="623E5710">
        <w:rPr>
          <w:rFonts w:asciiTheme="minorHAnsi" w:hAnsiTheme="minorHAnsi" w:cstheme="minorBidi"/>
        </w:rPr>
        <w:t xml:space="preserve"> performance standards are cost-effective</w:t>
      </w:r>
      <w:r w:rsidR="0004701A" w:rsidRPr="623E5710">
        <w:rPr>
          <w:rFonts w:asciiTheme="minorHAnsi" w:hAnsiTheme="minorHAnsi" w:cstheme="minorBidi"/>
        </w:rPr>
        <w:t>.</w:t>
      </w:r>
      <w:r w:rsidR="00896E06" w:rsidRPr="623E5710">
        <w:rPr>
          <w:rStyle w:val="FootnoteReference"/>
          <w:rFonts w:asciiTheme="minorHAnsi" w:hAnsiTheme="minorHAnsi" w:cstheme="minorBidi"/>
        </w:rPr>
        <w:footnoteReference w:id="5"/>
      </w:r>
      <w:r w:rsidR="0004701A" w:rsidRPr="623E5710">
        <w:rPr>
          <w:rFonts w:asciiTheme="minorHAnsi" w:hAnsiTheme="minorHAnsi" w:cstheme="minorBidi"/>
        </w:rPr>
        <w:t xml:space="preserve"> </w:t>
      </w:r>
      <w:r w:rsidRPr="623E5710">
        <w:rPr>
          <w:rFonts w:asciiTheme="minorHAnsi" w:hAnsiTheme="minorHAnsi" w:cstheme="minorBidi"/>
        </w:rPr>
        <w:t xml:space="preserve">Further, the studies found that it is significantly less expensive to build an all-electric </w:t>
      </w:r>
      <w:r w:rsidRPr="623E5710" w:rsidDel="00D23593">
        <w:rPr>
          <w:rFonts w:asciiTheme="minorHAnsi" w:hAnsiTheme="minorHAnsi" w:cstheme="minorBidi"/>
        </w:rPr>
        <w:t>single</w:t>
      </w:r>
      <w:r w:rsidR="00D23593" w:rsidRPr="623E5710">
        <w:rPr>
          <w:rFonts w:asciiTheme="minorHAnsi" w:hAnsiTheme="minorHAnsi" w:cstheme="minorBidi"/>
        </w:rPr>
        <w:t>-family</w:t>
      </w:r>
      <w:r w:rsidRPr="623E5710">
        <w:rPr>
          <w:rFonts w:asciiTheme="minorHAnsi" w:hAnsiTheme="minorHAnsi" w:cstheme="minorBidi"/>
        </w:rPr>
        <w:t xml:space="preserve"> home than a mixed-fuel home</w:t>
      </w:r>
      <w:r w:rsidR="00B71CDC" w:rsidRPr="623E5710">
        <w:rPr>
          <w:rFonts w:asciiTheme="minorHAnsi" w:hAnsiTheme="minorHAnsi" w:cstheme="minorBidi"/>
        </w:rPr>
        <w:t xml:space="preserve">. </w:t>
      </w:r>
      <w:r w:rsidR="003B0F31" w:rsidRPr="623E5710">
        <w:rPr>
          <w:rFonts w:asciiTheme="minorHAnsi" w:hAnsiTheme="minorHAnsi" w:cstheme="minorBidi"/>
        </w:rPr>
        <w:t>F</w:t>
      </w:r>
      <w:r w:rsidR="00B71CDC" w:rsidRPr="623E5710">
        <w:rPr>
          <w:rFonts w:asciiTheme="minorHAnsi" w:hAnsiTheme="minorHAnsi" w:cstheme="minorBidi"/>
        </w:rPr>
        <w:t xml:space="preserve">or all-electric multifamily </w:t>
      </w:r>
      <w:r w:rsidR="00B71CDC" w:rsidRPr="623E5710">
        <w:rPr>
          <w:rFonts w:asciiTheme="minorHAnsi" w:hAnsiTheme="minorHAnsi" w:cstheme="minorBidi"/>
        </w:rPr>
        <w:lastRenderedPageBreak/>
        <w:t xml:space="preserve">buildings, </w:t>
      </w:r>
      <w:r w:rsidR="007220E3" w:rsidRPr="623E5710">
        <w:rPr>
          <w:rFonts w:asciiTheme="minorHAnsi" w:hAnsiTheme="minorHAnsi" w:cstheme="minorBidi"/>
        </w:rPr>
        <w:t>t</w:t>
      </w:r>
      <w:r w:rsidR="003845F2" w:rsidRPr="623E5710">
        <w:rPr>
          <w:rFonts w:asciiTheme="minorHAnsi" w:hAnsiTheme="minorHAnsi" w:cstheme="minorBidi"/>
        </w:rPr>
        <w:t xml:space="preserve">here is </w:t>
      </w:r>
      <w:r w:rsidR="3F560188" w:rsidRPr="623E5710">
        <w:rPr>
          <w:rFonts w:asciiTheme="minorHAnsi" w:hAnsiTheme="minorHAnsi" w:cstheme="minorBidi"/>
        </w:rPr>
        <w:t xml:space="preserve">a </w:t>
      </w:r>
      <w:r w:rsidR="003845F2" w:rsidRPr="623E5710">
        <w:rPr>
          <w:rFonts w:asciiTheme="minorHAnsi" w:hAnsiTheme="minorHAnsi" w:cstheme="minorBidi"/>
        </w:rPr>
        <w:t>$100 to $700</w:t>
      </w:r>
      <w:r w:rsidRPr="623E5710">
        <w:rPr>
          <w:rFonts w:asciiTheme="minorHAnsi" w:hAnsiTheme="minorHAnsi" w:cstheme="minorBidi"/>
        </w:rPr>
        <w:t xml:space="preserve"> </w:t>
      </w:r>
      <w:r w:rsidR="008313DC" w:rsidRPr="623E5710">
        <w:rPr>
          <w:rFonts w:asciiTheme="minorHAnsi" w:hAnsiTheme="minorHAnsi" w:cstheme="minorBidi"/>
        </w:rPr>
        <w:t>cost increase</w:t>
      </w:r>
      <w:r w:rsidRPr="623E5710">
        <w:rPr>
          <w:rFonts w:asciiTheme="minorHAnsi" w:hAnsiTheme="minorHAnsi" w:cstheme="minorBidi"/>
        </w:rPr>
        <w:t xml:space="preserve"> </w:t>
      </w:r>
      <w:r w:rsidR="00447A62" w:rsidRPr="623E5710">
        <w:rPr>
          <w:rFonts w:asciiTheme="minorHAnsi" w:hAnsiTheme="minorHAnsi" w:cstheme="minorBidi"/>
        </w:rPr>
        <w:t>per dwelling unit</w:t>
      </w:r>
      <w:r w:rsidR="003845F2" w:rsidRPr="623E5710">
        <w:rPr>
          <w:rFonts w:asciiTheme="minorHAnsi" w:hAnsiTheme="minorHAnsi" w:cstheme="minorBidi"/>
        </w:rPr>
        <w:t>, depending upon the climate zone.</w:t>
      </w:r>
    </w:p>
    <w:p w14:paraId="49389EAD" w14:textId="77777777" w:rsidR="00EB7E2B" w:rsidRPr="00DA6592" w:rsidRDefault="00EB7E2B" w:rsidP="00887E62">
      <w:pPr>
        <w:rPr>
          <w:rFonts w:asciiTheme="minorHAnsi" w:hAnsiTheme="minorHAnsi" w:cstheme="minorHAnsi"/>
        </w:rPr>
      </w:pPr>
    </w:p>
    <w:p w14:paraId="5361D9B7" w14:textId="099D3542" w:rsidR="007A4B72" w:rsidRPr="00DA6592" w:rsidRDefault="006C4CF8" w:rsidP="00887E62">
      <w:pPr>
        <w:rPr>
          <w:rFonts w:asciiTheme="minorHAnsi" w:hAnsiTheme="minorHAnsi" w:cstheme="minorBidi"/>
        </w:rPr>
      </w:pPr>
      <w:r w:rsidRPr="623E5710">
        <w:rPr>
          <w:rFonts w:asciiTheme="minorHAnsi" w:hAnsiTheme="minorHAnsi" w:cstheme="minorBidi"/>
        </w:rPr>
        <w:t>S</w:t>
      </w:r>
      <w:r w:rsidR="007A4B72" w:rsidRPr="623E5710">
        <w:rPr>
          <w:rFonts w:asciiTheme="minorHAnsi" w:hAnsiTheme="minorHAnsi" w:cstheme="minorBidi"/>
        </w:rPr>
        <w:t xml:space="preserve">ource energy, which is </w:t>
      </w:r>
      <w:r w:rsidR="004F5A15" w:rsidRPr="623E5710">
        <w:rPr>
          <w:rFonts w:asciiTheme="minorHAnsi" w:hAnsiTheme="minorHAnsi" w:cstheme="minorBidi"/>
        </w:rPr>
        <w:t>one of the</w:t>
      </w:r>
      <w:r w:rsidR="007A4B72" w:rsidRPr="623E5710">
        <w:rPr>
          <w:rFonts w:asciiTheme="minorHAnsi" w:hAnsiTheme="minorHAnsi" w:cstheme="minorBidi"/>
        </w:rPr>
        <w:t xml:space="preserve"> compliance metric</w:t>
      </w:r>
      <w:r w:rsidR="004F5A15" w:rsidRPr="623E5710">
        <w:rPr>
          <w:rFonts w:asciiTheme="minorHAnsi" w:hAnsiTheme="minorHAnsi" w:cstheme="minorBidi"/>
        </w:rPr>
        <w:t>s in</w:t>
      </w:r>
      <w:r w:rsidR="007A4B72" w:rsidRPr="623E5710">
        <w:rPr>
          <w:rFonts w:asciiTheme="minorHAnsi" w:hAnsiTheme="minorHAnsi" w:cstheme="minorBidi"/>
        </w:rPr>
        <w:t xml:space="preserve"> the State Code</w:t>
      </w:r>
      <w:r w:rsidR="00995D16" w:rsidRPr="623E5710">
        <w:rPr>
          <w:rStyle w:val="FootnoteReference"/>
          <w:rFonts w:asciiTheme="minorHAnsi" w:hAnsiTheme="minorHAnsi" w:cstheme="minorBidi"/>
        </w:rPr>
        <w:footnoteReference w:id="6"/>
      </w:r>
      <w:r w:rsidR="00604C16" w:rsidRPr="623E5710">
        <w:rPr>
          <w:rFonts w:asciiTheme="minorHAnsi" w:hAnsiTheme="minorHAnsi" w:cstheme="minorBidi"/>
        </w:rPr>
        <w:t xml:space="preserve">, </w:t>
      </w:r>
      <w:r w:rsidR="007A4B72" w:rsidRPr="623E5710">
        <w:rPr>
          <w:rFonts w:asciiTheme="minorHAnsi" w:hAnsiTheme="minorHAnsi" w:cstheme="minorBidi"/>
        </w:rPr>
        <w:t xml:space="preserve">is the amount of energy (electricity or gas) needed </w:t>
      </w:r>
      <w:r w:rsidR="008846DA" w:rsidRPr="623E5710">
        <w:rPr>
          <w:rFonts w:asciiTheme="minorHAnsi" w:hAnsiTheme="minorHAnsi" w:cstheme="minorBidi"/>
        </w:rPr>
        <w:t>to power</w:t>
      </w:r>
      <w:r w:rsidR="00161354" w:rsidRPr="623E5710">
        <w:rPr>
          <w:rFonts w:asciiTheme="minorHAnsi" w:hAnsiTheme="minorHAnsi" w:cstheme="minorBidi"/>
        </w:rPr>
        <w:t xml:space="preserve"> a </w:t>
      </w:r>
      <w:r w:rsidR="007A4B72" w:rsidRPr="623E5710">
        <w:rPr>
          <w:rFonts w:asciiTheme="minorHAnsi" w:hAnsiTheme="minorHAnsi" w:cstheme="minorBidi"/>
        </w:rPr>
        <w:t>building</w:t>
      </w:r>
      <w:r w:rsidR="00161354" w:rsidRPr="623E5710">
        <w:rPr>
          <w:rFonts w:asciiTheme="minorHAnsi" w:hAnsiTheme="minorHAnsi" w:cstheme="minorBidi"/>
        </w:rPr>
        <w:t>.</w:t>
      </w:r>
      <w:r w:rsidR="007A4B72" w:rsidRPr="623E5710">
        <w:rPr>
          <w:rFonts w:asciiTheme="minorHAnsi" w:hAnsiTheme="minorHAnsi" w:cstheme="minorBidi"/>
        </w:rPr>
        <w:t xml:space="preserve"> </w:t>
      </w:r>
      <w:r w:rsidR="007B6BCC" w:rsidRPr="623E5710">
        <w:rPr>
          <w:rFonts w:asciiTheme="minorHAnsi" w:hAnsiTheme="minorHAnsi" w:cstheme="minorBidi"/>
        </w:rPr>
        <w:t>This value is d</w:t>
      </w:r>
      <w:r w:rsidR="00161354" w:rsidRPr="623E5710">
        <w:rPr>
          <w:rFonts w:asciiTheme="minorHAnsi" w:hAnsiTheme="minorHAnsi" w:cstheme="minorBidi"/>
        </w:rPr>
        <w:t xml:space="preserve">ependent </w:t>
      </w:r>
      <w:r w:rsidR="007A4B72" w:rsidRPr="623E5710">
        <w:rPr>
          <w:rFonts w:asciiTheme="minorHAnsi" w:hAnsiTheme="minorHAnsi" w:cstheme="minorBidi"/>
        </w:rPr>
        <w:t xml:space="preserve">upon the time the energy is used, and includes fuel used to generate power as well as transmission and distribution losses. </w:t>
      </w:r>
      <w:r w:rsidR="007E4369" w:rsidRPr="623E5710">
        <w:rPr>
          <w:rFonts w:asciiTheme="minorHAnsi" w:hAnsiTheme="minorHAnsi" w:cstheme="minorBidi"/>
        </w:rPr>
        <w:t xml:space="preserve"> </w:t>
      </w:r>
      <w:r w:rsidR="00BC0D8A" w:rsidRPr="623E5710">
        <w:rPr>
          <w:rFonts w:asciiTheme="minorHAnsi" w:hAnsiTheme="minorHAnsi" w:cstheme="minorBidi"/>
        </w:rPr>
        <w:t xml:space="preserve">The metric </w:t>
      </w:r>
      <w:r w:rsidR="007A4B72" w:rsidRPr="623E5710">
        <w:rPr>
          <w:rFonts w:asciiTheme="minorHAnsi" w:hAnsiTheme="minorHAnsi" w:cstheme="minorBidi"/>
        </w:rPr>
        <w:t>is expressed as the Energy Design Rating 1 (EDR1) for single family buildings and the Source Energy Budget for multifamily buildings.</w:t>
      </w:r>
      <w:r w:rsidR="0DCC9A90" w:rsidRPr="623E5710">
        <w:rPr>
          <w:rFonts w:asciiTheme="minorHAnsi" w:hAnsiTheme="minorHAnsi" w:cstheme="minorBidi"/>
        </w:rPr>
        <w:t xml:space="preserve"> Source energy is a reasonable proxy for a GHG metric.</w:t>
      </w:r>
    </w:p>
    <w:p w14:paraId="608325C2" w14:textId="77777777" w:rsidR="0099698B" w:rsidRPr="00DA6592" w:rsidRDefault="0099698B" w:rsidP="00887E62">
      <w:pPr>
        <w:rPr>
          <w:rFonts w:asciiTheme="minorHAnsi" w:hAnsiTheme="minorHAnsi" w:cstheme="minorHAnsi"/>
        </w:rPr>
      </w:pPr>
    </w:p>
    <w:p w14:paraId="67BD6768" w14:textId="48C91234" w:rsidR="00EC4EF3" w:rsidRPr="00DA6592" w:rsidRDefault="00B47713" w:rsidP="00887E62">
      <w:pPr>
        <w:rPr>
          <w:rFonts w:asciiTheme="minorHAnsi" w:hAnsiTheme="minorHAnsi" w:cstheme="minorBidi"/>
        </w:rPr>
      </w:pPr>
      <w:r w:rsidRPr="6EB262F3">
        <w:rPr>
          <w:rFonts w:asciiTheme="minorHAnsi" w:hAnsiTheme="minorHAnsi" w:cstheme="minorBidi"/>
        </w:rPr>
        <w:t>For typical buildings i</w:t>
      </w:r>
      <w:r w:rsidR="00EA50F8" w:rsidRPr="6EB262F3">
        <w:rPr>
          <w:rFonts w:asciiTheme="minorHAnsi" w:hAnsiTheme="minorHAnsi" w:cstheme="minorBidi"/>
        </w:rPr>
        <w:t xml:space="preserve">n </w:t>
      </w:r>
      <w:r w:rsidR="003845F2" w:rsidRPr="6EB262F3">
        <w:rPr>
          <w:rFonts w:asciiTheme="minorHAnsi" w:hAnsiTheme="minorHAnsi" w:cstheme="minorBidi"/>
        </w:rPr>
        <w:t>most climate zones</w:t>
      </w:r>
      <w:r w:rsidR="00EC398C" w:rsidRPr="6EB262F3">
        <w:rPr>
          <w:rFonts w:asciiTheme="minorHAnsi" w:hAnsiTheme="minorHAnsi" w:cstheme="minorBidi"/>
        </w:rPr>
        <w:t>,</w:t>
      </w:r>
      <w:r w:rsidR="00A815EE" w:rsidRPr="6EB262F3">
        <w:rPr>
          <w:rFonts w:asciiTheme="minorHAnsi" w:hAnsiTheme="minorHAnsi" w:cstheme="minorBidi"/>
        </w:rPr>
        <w:t xml:space="preserve"> </w:t>
      </w:r>
      <w:r w:rsidR="00EA50F8" w:rsidRPr="6EB262F3">
        <w:rPr>
          <w:rFonts w:asciiTheme="minorHAnsi" w:hAnsiTheme="minorHAnsi" w:cstheme="minorBidi"/>
        </w:rPr>
        <w:t>a</w:t>
      </w:r>
      <w:r w:rsidR="00BD2465" w:rsidRPr="6EB262F3">
        <w:rPr>
          <w:rFonts w:asciiTheme="minorHAnsi" w:hAnsiTheme="minorHAnsi" w:cstheme="minorBidi"/>
        </w:rPr>
        <w:t xml:space="preserve"> modest</w:t>
      </w:r>
      <w:r w:rsidR="0099698B" w:rsidRPr="6EB262F3">
        <w:rPr>
          <w:rFonts w:asciiTheme="minorHAnsi" w:hAnsiTheme="minorHAnsi" w:cstheme="minorBidi"/>
        </w:rPr>
        <w:t xml:space="preserve"> </w:t>
      </w:r>
      <w:r w:rsidR="00EA50F8" w:rsidRPr="6EB262F3">
        <w:rPr>
          <w:rFonts w:asciiTheme="minorHAnsi" w:hAnsiTheme="minorHAnsi" w:cstheme="minorBidi"/>
        </w:rPr>
        <w:t xml:space="preserve">single family and multifamily </w:t>
      </w:r>
      <w:r w:rsidR="0099698B" w:rsidRPr="6EB262F3">
        <w:rPr>
          <w:rFonts w:asciiTheme="minorHAnsi" w:hAnsiTheme="minorHAnsi" w:cstheme="minorBidi"/>
        </w:rPr>
        <w:t>source</w:t>
      </w:r>
      <w:r w:rsidR="00981639" w:rsidRPr="6EB262F3">
        <w:rPr>
          <w:rFonts w:asciiTheme="minorHAnsi" w:hAnsiTheme="minorHAnsi" w:cstheme="minorBidi"/>
        </w:rPr>
        <w:t xml:space="preserve"> </w:t>
      </w:r>
      <w:r w:rsidR="0099698B" w:rsidRPr="6EB262F3">
        <w:rPr>
          <w:rFonts w:asciiTheme="minorHAnsi" w:hAnsiTheme="minorHAnsi" w:cstheme="minorBidi"/>
        </w:rPr>
        <w:t xml:space="preserve">energy performance </w:t>
      </w:r>
      <w:r w:rsidR="00981639" w:rsidRPr="6EB262F3">
        <w:rPr>
          <w:rFonts w:asciiTheme="minorHAnsi" w:hAnsiTheme="minorHAnsi" w:cstheme="minorBidi"/>
        </w:rPr>
        <w:t>margin</w:t>
      </w:r>
      <w:r w:rsidR="0099698B" w:rsidRPr="6EB262F3">
        <w:rPr>
          <w:rFonts w:asciiTheme="minorHAnsi" w:hAnsiTheme="minorHAnsi" w:cstheme="minorBidi"/>
        </w:rPr>
        <w:t xml:space="preserve"> would enable all-electric buildings to comply with little or no additional measures than are already required by </w:t>
      </w:r>
      <w:r w:rsidR="007B6BCC" w:rsidRPr="6EB262F3">
        <w:rPr>
          <w:rFonts w:asciiTheme="minorHAnsi" w:hAnsiTheme="minorHAnsi" w:cstheme="minorBidi"/>
        </w:rPr>
        <w:t>the Energy Code</w:t>
      </w:r>
      <w:r w:rsidR="0099698B" w:rsidRPr="6EB262F3">
        <w:rPr>
          <w:rFonts w:asciiTheme="minorHAnsi" w:hAnsiTheme="minorHAnsi" w:cstheme="minorBidi"/>
        </w:rPr>
        <w:t xml:space="preserve"> but would require mixed-fuel buildings to make investments in </w:t>
      </w:r>
      <w:r w:rsidR="00606863" w:rsidRPr="6EB262F3">
        <w:rPr>
          <w:rFonts w:asciiTheme="minorHAnsi" w:hAnsiTheme="minorHAnsi" w:cstheme="minorBidi"/>
        </w:rPr>
        <w:t xml:space="preserve">a combination of </w:t>
      </w:r>
      <w:r w:rsidR="0099698B" w:rsidRPr="6EB262F3">
        <w:rPr>
          <w:rFonts w:asciiTheme="minorHAnsi" w:hAnsiTheme="minorHAnsi" w:cstheme="minorBidi"/>
        </w:rPr>
        <w:t>additional efficiency, renewables and</w:t>
      </w:r>
      <w:r w:rsidR="00606863" w:rsidRPr="6EB262F3">
        <w:rPr>
          <w:rFonts w:asciiTheme="minorHAnsi" w:hAnsiTheme="minorHAnsi" w:cstheme="minorBidi"/>
        </w:rPr>
        <w:t>/or</w:t>
      </w:r>
      <w:r w:rsidR="0099698B" w:rsidRPr="6EB262F3">
        <w:rPr>
          <w:rFonts w:asciiTheme="minorHAnsi" w:hAnsiTheme="minorHAnsi" w:cstheme="minorBidi"/>
        </w:rPr>
        <w:t xml:space="preserve"> energy storage.</w:t>
      </w:r>
      <w:r w:rsidR="00F42590" w:rsidRPr="6EB262F3">
        <w:rPr>
          <w:rFonts w:asciiTheme="minorHAnsi" w:hAnsiTheme="minorHAnsi" w:cstheme="minorBidi"/>
        </w:rPr>
        <w:t xml:space="preserve"> </w:t>
      </w:r>
      <w:r w:rsidR="00DA783A" w:rsidRPr="6EB262F3">
        <w:rPr>
          <w:rFonts w:asciiTheme="minorHAnsi" w:hAnsiTheme="minorHAnsi" w:cstheme="minorBidi"/>
        </w:rPr>
        <w:t>S</w:t>
      </w:r>
      <w:r w:rsidR="00551262" w:rsidRPr="6EB262F3">
        <w:rPr>
          <w:rFonts w:asciiTheme="minorHAnsi" w:hAnsiTheme="minorHAnsi" w:cstheme="minorBidi"/>
        </w:rPr>
        <w:t>lightly higher standard</w:t>
      </w:r>
      <w:r w:rsidR="00DA783A" w:rsidRPr="6EB262F3">
        <w:rPr>
          <w:rFonts w:asciiTheme="minorHAnsi" w:hAnsiTheme="minorHAnsi" w:cstheme="minorBidi"/>
        </w:rPr>
        <w:t>s</w:t>
      </w:r>
      <w:r w:rsidR="00551262" w:rsidRPr="6EB262F3">
        <w:rPr>
          <w:rFonts w:asciiTheme="minorHAnsi" w:hAnsiTheme="minorHAnsi" w:cstheme="minorBidi"/>
        </w:rPr>
        <w:t xml:space="preserve"> would require some additional </w:t>
      </w:r>
      <w:r w:rsidR="00314001" w:rsidRPr="6EB262F3">
        <w:rPr>
          <w:rFonts w:asciiTheme="minorHAnsi" w:hAnsiTheme="minorHAnsi" w:cstheme="minorBidi"/>
        </w:rPr>
        <w:t xml:space="preserve">efficiency measures and/or additional </w:t>
      </w:r>
      <w:r w:rsidR="00551262" w:rsidRPr="6EB262F3">
        <w:rPr>
          <w:rFonts w:asciiTheme="minorHAnsi" w:hAnsiTheme="minorHAnsi" w:cstheme="minorBidi"/>
        </w:rPr>
        <w:t>solar PV for all-electric buildings and</w:t>
      </w:r>
      <w:r w:rsidR="001B538F" w:rsidRPr="6EB262F3">
        <w:rPr>
          <w:rFonts w:asciiTheme="minorHAnsi" w:hAnsiTheme="minorHAnsi" w:cstheme="minorBidi"/>
        </w:rPr>
        <w:t xml:space="preserve"> more efficiency, PV and</w:t>
      </w:r>
      <w:r w:rsidR="001D0C17" w:rsidRPr="6EB262F3">
        <w:rPr>
          <w:rFonts w:asciiTheme="minorHAnsi" w:hAnsiTheme="minorHAnsi" w:cstheme="minorBidi"/>
        </w:rPr>
        <w:t>/or</w:t>
      </w:r>
      <w:r w:rsidR="001B538F" w:rsidRPr="6EB262F3">
        <w:rPr>
          <w:rFonts w:asciiTheme="minorHAnsi" w:hAnsiTheme="minorHAnsi" w:cstheme="minorBidi"/>
        </w:rPr>
        <w:t xml:space="preserve"> battery storage for mixed-fuel buildings. </w:t>
      </w:r>
      <w:r w:rsidR="00DE4211" w:rsidRPr="6EB262F3">
        <w:rPr>
          <w:rFonts w:asciiTheme="minorHAnsi" w:hAnsiTheme="minorHAnsi" w:cstheme="minorBidi"/>
        </w:rPr>
        <w:t>The</w:t>
      </w:r>
      <w:r w:rsidR="0099698B" w:rsidRPr="6EB262F3">
        <w:rPr>
          <w:rFonts w:asciiTheme="minorHAnsi" w:hAnsiTheme="minorHAnsi" w:cstheme="minorBidi"/>
        </w:rPr>
        <w:t xml:space="preserve"> same standard would apply to all-electric and mixed-fuel buildings</w:t>
      </w:r>
      <w:r w:rsidR="00144AAE" w:rsidRPr="6EB262F3">
        <w:rPr>
          <w:rFonts w:asciiTheme="minorHAnsi" w:hAnsiTheme="minorHAnsi" w:cstheme="minorBidi"/>
        </w:rPr>
        <w:t xml:space="preserve"> </w:t>
      </w:r>
      <w:r w:rsidR="00DE4211" w:rsidRPr="6EB262F3">
        <w:rPr>
          <w:rFonts w:asciiTheme="minorHAnsi" w:hAnsiTheme="minorHAnsi" w:cstheme="minorBidi"/>
        </w:rPr>
        <w:t>—</w:t>
      </w:r>
      <w:r w:rsidR="0099698B" w:rsidRPr="6EB262F3">
        <w:rPr>
          <w:rFonts w:asciiTheme="minorHAnsi" w:hAnsiTheme="minorHAnsi" w:cstheme="minorBidi"/>
        </w:rPr>
        <w:t xml:space="preserve"> </w:t>
      </w:r>
      <w:r w:rsidR="00DF626D" w:rsidRPr="6EB262F3">
        <w:rPr>
          <w:rFonts w:asciiTheme="minorHAnsi" w:hAnsiTheme="minorHAnsi" w:cstheme="minorBidi"/>
        </w:rPr>
        <w:t>making it</w:t>
      </w:r>
      <w:r w:rsidR="0099698B" w:rsidRPr="6EB262F3">
        <w:rPr>
          <w:rFonts w:asciiTheme="minorHAnsi" w:hAnsiTheme="minorHAnsi" w:cstheme="minorBidi"/>
        </w:rPr>
        <w:t xml:space="preserve"> </w:t>
      </w:r>
      <w:r w:rsidR="00144AAE" w:rsidRPr="6EB262F3">
        <w:rPr>
          <w:rFonts w:asciiTheme="minorHAnsi" w:hAnsiTheme="minorHAnsi" w:cstheme="minorBidi"/>
        </w:rPr>
        <w:t>easier</w:t>
      </w:r>
      <w:r w:rsidR="0099698B" w:rsidRPr="6EB262F3">
        <w:rPr>
          <w:rFonts w:asciiTheme="minorHAnsi" w:hAnsiTheme="minorHAnsi" w:cstheme="minorBidi"/>
        </w:rPr>
        <w:t xml:space="preserve"> to build all-electric.</w:t>
      </w:r>
      <w:r w:rsidR="00EA50F8" w:rsidRPr="6EB262F3">
        <w:rPr>
          <w:rFonts w:asciiTheme="minorHAnsi" w:hAnsiTheme="minorHAnsi" w:cstheme="minorBidi"/>
        </w:rPr>
        <w:t xml:space="preserve"> </w:t>
      </w:r>
      <w:r w:rsidR="00922456" w:rsidRPr="6EB262F3">
        <w:rPr>
          <w:rFonts w:asciiTheme="minorHAnsi" w:hAnsiTheme="minorHAnsi" w:cstheme="minorBidi"/>
        </w:rPr>
        <w:t>S</w:t>
      </w:r>
      <w:r w:rsidR="00E76DF5" w:rsidRPr="6EB262F3">
        <w:rPr>
          <w:rFonts w:asciiTheme="minorHAnsi" w:hAnsiTheme="minorHAnsi" w:cstheme="minorBidi"/>
        </w:rPr>
        <w:t xml:space="preserve">maller homes </w:t>
      </w:r>
      <w:r w:rsidR="36502937" w:rsidRPr="6EB262F3">
        <w:rPr>
          <w:rFonts w:asciiTheme="minorHAnsi" w:hAnsiTheme="minorHAnsi" w:cstheme="minorBidi"/>
        </w:rPr>
        <w:t>(</w:t>
      </w:r>
      <w:r w:rsidR="00922456" w:rsidRPr="6EB262F3">
        <w:rPr>
          <w:rFonts w:asciiTheme="minorHAnsi" w:hAnsiTheme="minorHAnsi" w:cstheme="minorBidi"/>
        </w:rPr>
        <w:t xml:space="preserve">for example, those </w:t>
      </w:r>
      <w:r w:rsidR="00E76DF5" w:rsidRPr="6EB262F3">
        <w:rPr>
          <w:rFonts w:asciiTheme="minorHAnsi" w:hAnsiTheme="minorHAnsi" w:cstheme="minorBidi"/>
        </w:rPr>
        <w:t>less than 1,500 square feet</w:t>
      </w:r>
      <w:r w:rsidR="4E5687AC" w:rsidRPr="6EB262F3">
        <w:rPr>
          <w:rFonts w:asciiTheme="minorHAnsi" w:hAnsiTheme="minorHAnsi" w:cstheme="minorBidi"/>
        </w:rPr>
        <w:t>)</w:t>
      </w:r>
      <w:r w:rsidR="00E76DF5" w:rsidRPr="6EB262F3">
        <w:rPr>
          <w:rFonts w:asciiTheme="minorHAnsi" w:hAnsiTheme="minorHAnsi" w:cstheme="minorBidi"/>
        </w:rPr>
        <w:t xml:space="preserve"> </w:t>
      </w:r>
      <w:r w:rsidR="00914BC5" w:rsidRPr="6EB262F3">
        <w:rPr>
          <w:rFonts w:asciiTheme="minorHAnsi" w:hAnsiTheme="minorHAnsi" w:cstheme="minorBidi"/>
        </w:rPr>
        <w:t xml:space="preserve">are an exception and a reduced margin </w:t>
      </w:r>
      <w:r w:rsidR="00657017" w:rsidRPr="6EB262F3">
        <w:rPr>
          <w:rFonts w:asciiTheme="minorHAnsi" w:hAnsiTheme="minorHAnsi" w:cstheme="minorBidi"/>
        </w:rPr>
        <w:t xml:space="preserve">should be considered </w:t>
      </w:r>
      <w:r w:rsidR="00914BC5" w:rsidRPr="6EB262F3">
        <w:rPr>
          <w:rFonts w:asciiTheme="minorHAnsi" w:hAnsiTheme="minorHAnsi" w:cstheme="minorBidi"/>
        </w:rPr>
        <w:t xml:space="preserve">or </w:t>
      </w:r>
      <w:r w:rsidR="00657017" w:rsidRPr="6EB262F3">
        <w:rPr>
          <w:rFonts w:asciiTheme="minorHAnsi" w:hAnsiTheme="minorHAnsi" w:cstheme="minorBidi"/>
        </w:rPr>
        <w:t>dwellings of this size or less can be</w:t>
      </w:r>
      <w:r w:rsidR="00914BC5" w:rsidRPr="6EB262F3">
        <w:rPr>
          <w:rFonts w:asciiTheme="minorHAnsi" w:hAnsiTheme="minorHAnsi" w:cstheme="minorBidi"/>
        </w:rPr>
        <w:t xml:space="preserve"> exempted.</w:t>
      </w:r>
      <w:r w:rsidR="002C7B5B" w:rsidRPr="6EB262F3">
        <w:rPr>
          <w:rFonts w:asciiTheme="minorHAnsi" w:hAnsiTheme="minorHAnsi" w:cstheme="minorBidi"/>
        </w:rPr>
        <w:t xml:space="preserve"> </w:t>
      </w:r>
    </w:p>
    <w:p w14:paraId="78914F87" w14:textId="77777777" w:rsidR="0016742D" w:rsidRPr="00DA6592" w:rsidRDefault="0016742D" w:rsidP="00887E62">
      <w:pPr>
        <w:rPr>
          <w:rFonts w:asciiTheme="minorHAnsi" w:hAnsiTheme="minorHAnsi" w:cstheme="minorHAnsi"/>
        </w:rPr>
      </w:pPr>
    </w:p>
    <w:p w14:paraId="731FD804" w14:textId="715B1420" w:rsidR="00E40160" w:rsidRPr="00DA6592" w:rsidRDefault="007220E3" w:rsidP="00887E62">
      <w:pPr>
        <w:rPr>
          <w:rFonts w:asciiTheme="minorHAnsi" w:hAnsiTheme="minorHAnsi" w:cstheme="minorBidi"/>
        </w:rPr>
      </w:pPr>
      <w:r w:rsidRPr="6EB262F3">
        <w:rPr>
          <w:rFonts w:asciiTheme="minorHAnsi" w:eastAsiaTheme="minorEastAsia" w:hAnsiTheme="minorHAnsi" w:cstheme="minorBidi"/>
        </w:rPr>
        <w:t xml:space="preserve">As an example, an </w:t>
      </w:r>
      <w:r w:rsidR="00E40160" w:rsidRPr="6EB262F3">
        <w:rPr>
          <w:rFonts w:asciiTheme="minorHAnsi" w:hAnsiTheme="minorHAnsi" w:cstheme="minorBidi"/>
        </w:rPr>
        <w:t xml:space="preserve">all-electric home </w:t>
      </w:r>
      <w:r w:rsidR="00657017" w:rsidRPr="6EB262F3">
        <w:rPr>
          <w:rFonts w:asciiTheme="minorHAnsi" w:hAnsiTheme="minorHAnsi" w:cstheme="minorBidi"/>
        </w:rPr>
        <w:t>may</w:t>
      </w:r>
      <w:r w:rsidR="00E40160" w:rsidRPr="6EB262F3">
        <w:rPr>
          <w:rFonts w:asciiTheme="minorHAnsi" w:hAnsiTheme="minorHAnsi" w:cstheme="minorBidi"/>
        </w:rPr>
        <w:t xml:space="preserve"> achieve relatively high</w:t>
      </w:r>
      <w:r w:rsidR="5DDBB586" w:rsidRPr="6EB262F3">
        <w:rPr>
          <w:rFonts w:asciiTheme="minorHAnsi" w:hAnsiTheme="minorHAnsi" w:cstheme="minorBidi"/>
        </w:rPr>
        <w:t>-</w:t>
      </w:r>
      <w:r w:rsidR="00E40160" w:rsidRPr="6EB262F3">
        <w:rPr>
          <w:rFonts w:asciiTheme="minorHAnsi" w:hAnsiTheme="minorHAnsi" w:cstheme="minorBidi"/>
        </w:rPr>
        <w:t>performance levels with the following measures</w:t>
      </w:r>
      <w:r w:rsidR="00E40160" w:rsidRPr="6EB262F3">
        <w:rPr>
          <w:rStyle w:val="FootnoteReference"/>
          <w:rFonts w:asciiTheme="minorHAnsi" w:hAnsiTheme="minorHAnsi" w:cstheme="minorBidi"/>
        </w:rPr>
        <w:footnoteReference w:id="7"/>
      </w:r>
      <w:r w:rsidR="00E40160" w:rsidRPr="6EB262F3">
        <w:rPr>
          <w:rFonts w:asciiTheme="minorHAnsi" w:hAnsiTheme="minorHAnsi" w:cstheme="minorBidi"/>
        </w:rPr>
        <w:t>:</w:t>
      </w:r>
    </w:p>
    <w:p w14:paraId="27AEFCFA" w14:textId="636D76D4" w:rsidR="00E40160" w:rsidRPr="00DA6592" w:rsidRDefault="00E40160" w:rsidP="00B55480">
      <w:pPr>
        <w:pStyle w:val="ListParagraph"/>
        <w:rPr>
          <w:rFonts w:asciiTheme="minorHAnsi" w:hAnsiTheme="minorHAnsi"/>
        </w:rPr>
      </w:pPr>
      <w:r w:rsidRPr="00DA6592">
        <w:rPr>
          <w:rFonts w:asciiTheme="minorHAnsi" w:hAnsiTheme="minorHAnsi"/>
        </w:rPr>
        <w:t xml:space="preserve">Heat pump water </w:t>
      </w:r>
      <w:proofErr w:type="gramStart"/>
      <w:r w:rsidRPr="00DA6592">
        <w:rPr>
          <w:rFonts w:asciiTheme="minorHAnsi" w:hAnsiTheme="minorHAnsi"/>
        </w:rPr>
        <w:t>heat</w:t>
      </w:r>
      <w:r w:rsidR="002417EF">
        <w:rPr>
          <w:rFonts w:asciiTheme="minorHAnsi" w:hAnsiTheme="minorHAnsi"/>
        </w:rPr>
        <w:t>er</w:t>
      </w:r>
      <w:proofErr w:type="gramEnd"/>
    </w:p>
    <w:p w14:paraId="7F2BCF78" w14:textId="77777777" w:rsidR="00E40160" w:rsidRPr="00DA6592" w:rsidRDefault="00E40160" w:rsidP="00B55480">
      <w:pPr>
        <w:pStyle w:val="ListParagraph"/>
        <w:rPr>
          <w:rFonts w:asciiTheme="minorHAnsi" w:hAnsiTheme="minorHAnsi"/>
        </w:rPr>
      </w:pPr>
      <w:r w:rsidRPr="00DA6592">
        <w:rPr>
          <w:rFonts w:asciiTheme="minorHAnsi" w:hAnsiTheme="minorHAnsi"/>
        </w:rPr>
        <w:t xml:space="preserve">Heat pump space </w:t>
      </w:r>
      <w:proofErr w:type="gramStart"/>
      <w:r w:rsidRPr="00DA6592">
        <w:rPr>
          <w:rFonts w:asciiTheme="minorHAnsi" w:hAnsiTheme="minorHAnsi"/>
        </w:rPr>
        <w:t>heater</w:t>
      </w:r>
      <w:proofErr w:type="gramEnd"/>
    </w:p>
    <w:p w14:paraId="4EC327D4" w14:textId="1B5A5F5D" w:rsidR="00E40160" w:rsidRPr="00DA6592" w:rsidRDefault="00E40160" w:rsidP="00B55480">
      <w:pPr>
        <w:pStyle w:val="ListParagraph"/>
        <w:rPr>
          <w:rFonts w:asciiTheme="minorHAnsi" w:hAnsiTheme="minorHAnsi"/>
        </w:rPr>
      </w:pPr>
      <w:r w:rsidRPr="00DA6592">
        <w:rPr>
          <w:rFonts w:asciiTheme="minorHAnsi" w:hAnsiTheme="minorHAnsi"/>
        </w:rPr>
        <w:t xml:space="preserve">Prescriptive efficiency measures (baseline efficiency measures otherwise required by the </w:t>
      </w:r>
      <w:r w:rsidR="0097401D" w:rsidRPr="6EB262F3">
        <w:rPr>
          <w:rFonts w:asciiTheme="minorHAnsi" w:hAnsiTheme="minorHAnsi"/>
        </w:rPr>
        <w:t>state code</w:t>
      </w:r>
      <w:r w:rsidRPr="00DA6592">
        <w:rPr>
          <w:rFonts w:asciiTheme="minorHAnsi" w:hAnsiTheme="minorHAnsi"/>
        </w:rPr>
        <w:t>)</w:t>
      </w:r>
    </w:p>
    <w:p w14:paraId="2FDBC5CF" w14:textId="77777777" w:rsidR="00E40160" w:rsidRPr="00DA6592" w:rsidRDefault="00E40160" w:rsidP="00B55480">
      <w:pPr>
        <w:pStyle w:val="ListParagraph"/>
        <w:rPr>
          <w:rFonts w:asciiTheme="minorHAnsi" w:hAnsiTheme="minorHAnsi"/>
        </w:rPr>
      </w:pPr>
      <w:r w:rsidRPr="00DA6592">
        <w:rPr>
          <w:rFonts w:asciiTheme="minorHAnsi" w:hAnsiTheme="minorHAnsi"/>
        </w:rPr>
        <w:t>Additional solar PV, additional efficiency measures or high-efficiency appliances</w:t>
      </w:r>
    </w:p>
    <w:p w14:paraId="4DC471A5" w14:textId="5408369F" w:rsidR="00567F5C" w:rsidRPr="00DA6592" w:rsidRDefault="00DF18B1" w:rsidP="00567F5C">
      <w:pPr>
        <w:ind w:left="288"/>
        <w:rPr>
          <w:rFonts w:asciiTheme="minorHAnsi" w:hAnsiTheme="minorHAnsi" w:cstheme="minorHAnsi"/>
        </w:rPr>
      </w:pPr>
      <w:r w:rsidRPr="00DA6592">
        <w:rPr>
          <w:rFonts w:asciiTheme="minorHAnsi" w:hAnsiTheme="minorHAnsi" w:cstheme="minorHAnsi"/>
        </w:rPr>
        <w:t xml:space="preserve"> </w:t>
      </w:r>
    </w:p>
    <w:p w14:paraId="1D406F37" w14:textId="2C3DC082" w:rsidR="00E40160" w:rsidRPr="00DA6592" w:rsidRDefault="00E40160" w:rsidP="00887E62">
      <w:pPr>
        <w:rPr>
          <w:rFonts w:asciiTheme="minorHAnsi" w:hAnsiTheme="minorHAnsi" w:cstheme="minorHAnsi"/>
        </w:rPr>
      </w:pPr>
      <w:r w:rsidRPr="00DA6592">
        <w:rPr>
          <w:rFonts w:asciiTheme="minorHAnsi" w:hAnsiTheme="minorHAnsi" w:cstheme="minorHAnsi"/>
        </w:rPr>
        <w:t xml:space="preserve">To achieve a similar performance level, a mixed-fuel home may need to </w:t>
      </w:r>
      <w:r w:rsidR="00E30D92" w:rsidRPr="00DA6592">
        <w:rPr>
          <w:rFonts w:asciiTheme="minorHAnsi" w:hAnsiTheme="minorHAnsi" w:cstheme="minorHAnsi"/>
        </w:rPr>
        <w:t>install</w:t>
      </w:r>
      <w:r w:rsidRPr="00DA6592">
        <w:rPr>
          <w:rFonts w:asciiTheme="minorHAnsi" w:hAnsiTheme="minorHAnsi" w:cstheme="minorHAnsi"/>
        </w:rPr>
        <w:t xml:space="preserve"> </w:t>
      </w:r>
      <w:r w:rsidR="0053563F" w:rsidRPr="00DA6592">
        <w:rPr>
          <w:rFonts w:asciiTheme="minorHAnsi" w:hAnsiTheme="minorHAnsi" w:cstheme="minorHAnsi"/>
        </w:rPr>
        <w:t xml:space="preserve">a </w:t>
      </w:r>
      <w:r w:rsidRPr="00DA6592">
        <w:rPr>
          <w:rFonts w:asciiTheme="minorHAnsi" w:hAnsiTheme="minorHAnsi" w:cstheme="minorHAnsi"/>
        </w:rPr>
        <w:t>combination of measures</w:t>
      </w:r>
      <w:r w:rsidR="00E30D92" w:rsidRPr="00DA6592">
        <w:rPr>
          <w:rFonts w:asciiTheme="minorHAnsi" w:hAnsiTheme="minorHAnsi" w:cstheme="minorHAnsi"/>
        </w:rPr>
        <w:t xml:space="preserve"> that may include</w:t>
      </w:r>
      <w:r w:rsidRPr="00DA6592">
        <w:rPr>
          <w:rFonts w:asciiTheme="minorHAnsi" w:hAnsiTheme="minorHAnsi" w:cstheme="minorHAnsi"/>
        </w:rPr>
        <w:t>:</w:t>
      </w:r>
    </w:p>
    <w:p w14:paraId="4BF762BA" w14:textId="77777777" w:rsidR="00E40160" w:rsidRPr="00DA6592" w:rsidRDefault="00E40160" w:rsidP="00B55480">
      <w:pPr>
        <w:pStyle w:val="ListParagraph"/>
        <w:rPr>
          <w:rFonts w:asciiTheme="minorHAnsi" w:hAnsiTheme="minorHAnsi"/>
        </w:rPr>
      </w:pPr>
      <w:r w:rsidRPr="00DA6592">
        <w:rPr>
          <w:rFonts w:asciiTheme="minorHAnsi" w:hAnsiTheme="minorHAnsi"/>
        </w:rPr>
        <w:t>Prescriptive efficiency measures</w:t>
      </w:r>
    </w:p>
    <w:p w14:paraId="6C9359ED" w14:textId="1C8AB7CD" w:rsidR="00E40160" w:rsidRPr="00DA6592" w:rsidRDefault="00E40160" w:rsidP="00B55480">
      <w:pPr>
        <w:pStyle w:val="ListParagraph"/>
        <w:rPr>
          <w:rFonts w:asciiTheme="minorHAnsi" w:hAnsiTheme="minorHAnsi"/>
        </w:rPr>
      </w:pPr>
      <w:r w:rsidRPr="00DA6592">
        <w:rPr>
          <w:rFonts w:asciiTheme="minorHAnsi" w:hAnsiTheme="minorHAnsi"/>
        </w:rPr>
        <w:t>Advanced efficiency measures</w:t>
      </w:r>
      <w:r w:rsidR="00A67A59">
        <w:rPr>
          <w:rFonts w:asciiTheme="minorHAnsi" w:hAnsiTheme="minorHAnsi"/>
        </w:rPr>
        <w:t xml:space="preserve">, </w:t>
      </w:r>
      <w:r w:rsidR="00517FC7">
        <w:rPr>
          <w:rFonts w:asciiTheme="minorHAnsi" w:hAnsiTheme="minorHAnsi"/>
        </w:rPr>
        <w:t>such as</w:t>
      </w:r>
    </w:p>
    <w:p w14:paraId="6BEDC990" w14:textId="77777777" w:rsidR="00E40160" w:rsidRDefault="00E40160" w:rsidP="00517FC7">
      <w:pPr>
        <w:pStyle w:val="ListParagraph"/>
        <w:numPr>
          <w:ilvl w:val="1"/>
          <w:numId w:val="18"/>
        </w:numPr>
        <w:rPr>
          <w:rFonts w:asciiTheme="minorHAnsi" w:hAnsiTheme="minorHAnsi"/>
        </w:rPr>
      </w:pPr>
      <w:r w:rsidRPr="00DA6592">
        <w:rPr>
          <w:rFonts w:asciiTheme="minorHAnsi" w:hAnsiTheme="minorHAnsi"/>
        </w:rPr>
        <w:t>Increased ceiling insulation</w:t>
      </w:r>
    </w:p>
    <w:p w14:paraId="6CF8FEF4" w14:textId="01046658" w:rsidR="00517FC7" w:rsidRPr="00DA6592" w:rsidRDefault="0097401D" w:rsidP="00F868E0">
      <w:pPr>
        <w:pStyle w:val="ListParagraph"/>
        <w:numPr>
          <w:ilvl w:val="1"/>
          <w:numId w:val="18"/>
        </w:numPr>
        <w:rPr>
          <w:rFonts w:asciiTheme="minorHAnsi" w:hAnsiTheme="minorHAnsi"/>
        </w:rPr>
      </w:pPr>
      <w:r w:rsidRPr="6EB262F3">
        <w:rPr>
          <w:rFonts w:asciiTheme="minorHAnsi" w:hAnsiTheme="minorHAnsi"/>
        </w:rPr>
        <w:t>A</w:t>
      </w:r>
      <w:r w:rsidR="00B812B3" w:rsidRPr="6EB262F3">
        <w:rPr>
          <w:rFonts w:asciiTheme="minorHAnsi" w:hAnsiTheme="minorHAnsi"/>
        </w:rPr>
        <w:t xml:space="preserve">ttic </w:t>
      </w:r>
      <w:r w:rsidRPr="6EB262F3">
        <w:rPr>
          <w:rFonts w:asciiTheme="minorHAnsi" w:hAnsiTheme="minorHAnsi"/>
        </w:rPr>
        <w:t>ducts to be</w:t>
      </w:r>
      <w:r w:rsidR="00B812B3">
        <w:rPr>
          <w:rFonts w:asciiTheme="minorHAnsi" w:hAnsiTheme="minorHAnsi"/>
        </w:rPr>
        <w:t xml:space="preserve"> buried in </w:t>
      </w:r>
      <w:proofErr w:type="gramStart"/>
      <w:r w:rsidR="00B812B3">
        <w:rPr>
          <w:rFonts w:asciiTheme="minorHAnsi" w:hAnsiTheme="minorHAnsi"/>
        </w:rPr>
        <w:t>insulation</w:t>
      </w:r>
      <w:proofErr w:type="gramEnd"/>
    </w:p>
    <w:p w14:paraId="1C5A8BE1" w14:textId="77777777" w:rsidR="00E40160" w:rsidRPr="00DA6592" w:rsidRDefault="00E40160" w:rsidP="00F868E0">
      <w:pPr>
        <w:pStyle w:val="ListParagraph"/>
        <w:numPr>
          <w:ilvl w:val="1"/>
          <w:numId w:val="18"/>
        </w:numPr>
        <w:rPr>
          <w:rFonts w:asciiTheme="minorHAnsi" w:hAnsiTheme="minorHAnsi"/>
        </w:rPr>
      </w:pPr>
      <w:r w:rsidRPr="00DA6592">
        <w:rPr>
          <w:rFonts w:asciiTheme="minorHAnsi" w:hAnsiTheme="minorHAnsi"/>
        </w:rPr>
        <w:t xml:space="preserve">Slab </w:t>
      </w:r>
      <w:proofErr w:type="gramStart"/>
      <w:r w:rsidRPr="00DA6592">
        <w:rPr>
          <w:rFonts w:asciiTheme="minorHAnsi" w:hAnsiTheme="minorHAnsi"/>
        </w:rPr>
        <w:t>insulation</w:t>
      </w:r>
      <w:proofErr w:type="gramEnd"/>
    </w:p>
    <w:p w14:paraId="58B5063C" w14:textId="77777777" w:rsidR="00E40160" w:rsidRPr="00DA6592" w:rsidRDefault="00E40160" w:rsidP="00F868E0">
      <w:pPr>
        <w:pStyle w:val="ListParagraph"/>
        <w:numPr>
          <w:ilvl w:val="1"/>
          <w:numId w:val="18"/>
        </w:numPr>
        <w:rPr>
          <w:rFonts w:asciiTheme="minorHAnsi" w:hAnsiTheme="minorHAnsi"/>
        </w:rPr>
      </w:pPr>
      <w:r w:rsidRPr="00DA6592">
        <w:rPr>
          <w:rFonts w:asciiTheme="minorHAnsi" w:hAnsiTheme="minorHAnsi"/>
        </w:rPr>
        <w:t>Low-pressure drop ducts</w:t>
      </w:r>
    </w:p>
    <w:p w14:paraId="79B2C02A" w14:textId="6FF25919" w:rsidR="00E40160" w:rsidRPr="00DA6592" w:rsidRDefault="00E40160" w:rsidP="00F868E0">
      <w:pPr>
        <w:pStyle w:val="ListParagraph"/>
        <w:numPr>
          <w:ilvl w:val="1"/>
          <w:numId w:val="18"/>
        </w:numPr>
        <w:rPr>
          <w:rFonts w:asciiTheme="minorHAnsi" w:hAnsiTheme="minorHAnsi"/>
        </w:rPr>
      </w:pPr>
      <w:r w:rsidRPr="00DA6592">
        <w:rPr>
          <w:rFonts w:asciiTheme="minorHAnsi" w:hAnsiTheme="minorHAnsi"/>
        </w:rPr>
        <w:t>Compact hot water distribution</w:t>
      </w:r>
      <w:r w:rsidR="0097401D" w:rsidRPr="6EB262F3">
        <w:rPr>
          <w:rFonts w:asciiTheme="minorHAnsi" w:hAnsiTheme="minorHAnsi"/>
        </w:rPr>
        <w:t xml:space="preserve"> design</w:t>
      </w:r>
    </w:p>
    <w:p w14:paraId="29FDC614" w14:textId="77777777" w:rsidR="002701F4" w:rsidRPr="00DA6592" w:rsidRDefault="00E40160" w:rsidP="00F868E0">
      <w:pPr>
        <w:pStyle w:val="ListParagraph"/>
        <w:numPr>
          <w:ilvl w:val="1"/>
          <w:numId w:val="18"/>
        </w:numPr>
        <w:rPr>
          <w:rFonts w:asciiTheme="minorHAnsi" w:hAnsiTheme="minorHAnsi"/>
        </w:rPr>
      </w:pPr>
      <w:r w:rsidRPr="00DA6592">
        <w:rPr>
          <w:rFonts w:asciiTheme="minorHAnsi" w:hAnsiTheme="minorHAnsi"/>
        </w:rPr>
        <w:lastRenderedPageBreak/>
        <w:t>Additional solar PV</w:t>
      </w:r>
      <w:r w:rsidRPr="00DA6592">
        <w:rPr>
          <w:rStyle w:val="FootnoteReference"/>
          <w:rFonts w:asciiTheme="minorHAnsi" w:hAnsiTheme="minorHAnsi"/>
        </w:rPr>
        <w:footnoteReference w:id="8"/>
      </w:r>
    </w:p>
    <w:p w14:paraId="6EAF2E02" w14:textId="01C1C18C" w:rsidR="002C62BC" w:rsidRPr="00DA6592" w:rsidRDefault="00E40160" w:rsidP="00F868E0">
      <w:pPr>
        <w:pStyle w:val="ListParagraph"/>
        <w:numPr>
          <w:ilvl w:val="1"/>
          <w:numId w:val="18"/>
        </w:numPr>
        <w:rPr>
          <w:rFonts w:asciiTheme="minorHAnsi" w:hAnsiTheme="minorHAnsi"/>
        </w:rPr>
      </w:pPr>
      <w:r w:rsidRPr="00DA6592">
        <w:rPr>
          <w:rFonts w:asciiTheme="minorHAnsi" w:hAnsiTheme="minorHAnsi"/>
        </w:rPr>
        <w:t>Battery storage</w:t>
      </w:r>
    </w:p>
    <w:p w14:paraId="491A6207" w14:textId="77777777" w:rsidR="00B55480" w:rsidRPr="00DA6592" w:rsidRDefault="00B55480" w:rsidP="00B55480">
      <w:pPr>
        <w:pStyle w:val="ListParagraph"/>
        <w:numPr>
          <w:ilvl w:val="0"/>
          <w:numId w:val="0"/>
        </w:numPr>
        <w:ind w:left="720"/>
        <w:rPr>
          <w:rFonts w:asciiTheme="minorHAnsi" w:hAnsiTheme="minorHAnsi"/>
        </w:rPr>
      </w:pPr>
    </w:p>
    <w:p w14:paraId="10428BB2" w14:textId="14CBF4C8" w:rsidR="00B55480" w:rsidRPr="00DA6592" w:rsidRDefault="004377F3" w:rsidP="00887E62">
      <w:pPr>
        <w:rPr>
          <w:rFonts w:asciiTheme="minorHAnsi" w:hAnsiTheme="minorHAnsi" w:cstheme="minorBidi"/>
        </w:rPr>
      </w:pPr>
      <w:r w:rsidRPr="6EB262F3">
        <w:rPr>
          <w:rFonts w:asciiTheme="minorHAnsi" w:hAnsiTheme="minorHAnsi" w:cstheme="minorBidi"/>
        </w:rPr>
        <w:t>The model ordinance includes a</w:t>
      </w:r>
      <w:r w:rsidR="001228DC" w:rsidRPr="6EB262F3">
        <w:rPr>
          <w:rFonts w:asciiTheme="minorHAnsi" w:hAnsiTheme="minorHAnsi" w:cstheme="minorBidi"/>
        </w:rPr>
        <w:t xml:space="preserve"> set of reasonable margins for standard homes, smaller </w:t>
      </w:r>
      <w:proofErr w:type="gramStart"/>
      <w:r w:rsidR="001228DC" w:rsidRPr="6EB262F3">
        <w:rPr>
          <w:rFonts w:asciiTheme="minorHAnsi" w:hAnsiTheme="minorHAnsi" w:cstheme="minorBidi"/>
        </w:rPr>
        <w:t>homes</w:t>
      </w:r>
      <w:proofErr w:type="gramEnd"/>
      <w:r w:rsidR="001228DC" w:rsidRPr="6EB262F3">
        <w:rPr>
          <w:rFonts w:asciiTheme="minorHAnsi" w:hAnsiTheme="minorHAnsi" w:cstheme="minorBidi"/>
        </w:rPr>
        <w:t xml:space="preserve"> and multifamily units. </w:t>
      </w:r>
      <w:r w:rsidR="006615BA" w:rsidRPr="6EB262F3">
        <w:rPr>
          <w:rFonts w:asciiTheme="minorHAnsi" w:hAnsiTheme="minorHAnsi" w:cstheme="minorBidi"/>
        </w:rPr>
        <w:t xml:space="preserve">These values </w:t>
      </w:r>
      <w:r w:rsidR="00A82240" w:rsidRPr="6EB262F3">
        <w:rPr>
          <w:rFonts w:asciiTheme="minorHAnsi" w:hAnsiTheme="minorHAnsi" w:cstheme="minorBidi"/>
        </w:rPr>
        <w:t xml:space="preserve">have been found to be consistent with State and Federal requirements and </w:t>
      </w:r>
      <w:r w:rsidR="004D4EA7" w:rsidRPr="6EB262F3">
        <w:rPr>
          <w:rFonts w:asciiTheme="minorHAnsi" w:hAnsiTheme="minorHAnsi" w:cstheme="minorBidi"/>
        </w:rPr>
        <w:t>achievable with readily available technologies</w:t>
      </w:r>
      <w:r w:rsidR="00B55480" w:rsidRPr="6EB262F3">
        <w:rPr>
          <w:rFonts w:asciiTheme="minorHAnsi" w:hAnsiTheme="minorHAnsi" w:cstheme="minorBidi"/>
        </w:rPr>
        <w:t xml:space="preserve">. </w:t>
      </w:r>
      <w:r w:rsidR="00AD18A3" w:rsidRPr="6EB262F3">
        <w:rPr>
          <w:rFonts w:asciiTheme="minorHAnsi" w:hAnsiTheme="minorHAnsi" w:cstheme="minorBidi"/>
        </w:rPr>
        <w:t xml:space="preserve">The values are </w:t>
      </w:r>
      <w:r w:rsidR="00DF70AB" w:rsidRPr="6EB262F3">
        <w:rPr>
          <w:rFonts w:asciiTheme="minorHAnsi" w:hAnsiTheme="minorHAnsi" w:cstheme="minorBidi"/>
        </w:rPr>
        <w:t>con</w:t>
      </w:r>
      <w:r w:rsidR="008B7B4B" w:rsidRPr="6EB262F3">
        <w:rPr>
          <w:rFonts w:asciiTheme="minorHAnsi" w:hAnsiTheme="minorHAnsi" w:cstheme="minorBidi"/>
        </w:rPr>
        <w:t>s</w:t>
      </w:r>
      <w:r w:rsidR="00DF70AB" w:rsidRPr="6EB262F3">
        <w:rPr>
          <w:rFonts w:asciiTheme="minorHAnsi" w:hAnsiTheme="minorHAnsi" w:cstheme="minorBidi"/>
        </w:rPr>
        <w:t>trained</w:t>
      </w:r>
      <w:r w:rsidR="00AD18A3" w:rsidRPr="6EB262F3">
        <w:rPr>
          <w:rFonts w:asciiTheme="minorHAnsi" w:hAnsiTheme="minorHAnsi" w:cstheme="minorBidi"/>
        </w:rPr>
        <w:t xml:space="preserve"> by </w:t>
      </w:r>
      <w:r w:rsidR="00DF70AB" w:rsidRPr="6EB262F3">
        <w:rPr>
          <w:rFonts w:asciiTheme="minorHAnsi" w:hAnsiTheme="minorHAnsi" w:cstheme="minorBidi"/>
        </w:rPr>
        <w:t xml:space="preserve">lower and upper ranges. </w:t>
      </w:r>
      <w:r w:rsidR="00B55480" w:rsidRPr="6EB262F3">
        <w:rPr>
          <w:rFonts w:asciiTheme="minorHAnsi" w:hAnsiTheme="minorHAnsi" w:cstheme="minorBidi"/>
        </w:rPr>
        <w:t xml:space="preserve">The lower end </w:t>
      </w:r>
      <w:r w:rsidR="00943501" w:rsidRPr="6EB262F3">
        <w:rPr>
          <w:rFonts w:asciiTheme="minorHAnsi" w:hAnsiTheme="minorHAnsi" w:cstheme="minorBidi"/>
        </w:rPr>
        <w:t xml:space="preserve">of the range </w:t>
      </w:r>
      <w:r w:rsidR="00B55480" w:rsidRPr="6EB262F3">
        <w:rPr>
          <w:rFonts w:asciiTheme="minorHAnsi" w:hAnsiTheme="minorHAnsi" w:cstheme="minorBidi"/>
        </w:rPr>
        <w:t xml:space="preserve">would be equivalent to what can be achieved by an all-electric building with </w:t>
      </w:r>
      <w:r w:rsidR="00943501" w:rsidRPr="6EB262F3">
        <w:rPr>
          <w:rFonts w:asciiTheme="minorHAnsi" w:hAnsiTheme="minorHAnsi" w:cstheme="minorBidi"/>
        </w:rPr>
        <w:t xml:space="preserve">little </w:t>
      </w:r>
      <w:r w:rsidR="00B55480" w:rsidRPr="6EB262F3">
        <w:rPr>
          <w:rFonts w:asciiTheme="minorHAnsi" w:hAnsiTheme="minorHAnsi" w:cstheme="minorBidi"/>
        </w:rPr>
        <w:t>more than measures that are already required under the State Code</w:t>
      </w:r>
      <w:r w:rsidR="008B7B4B" w:rsidRPr="6EB262F3">
        <w:rPr>
          <w:rStyle w:val="FootnoteReference"/>
          <w:rFonts w:asciiTheme="minorHAnsi" w:hAnsiTheme="minorHAnsi" w:cstheme="minorBidi"/>
        </w:rPr>
        <w:footnoteReference w:id="9"/>
      </w:r>
      <w:r w:rsidR="00B55480" w:rsidRPr="6EB262F3">
        <w:rPr>
          <w:rFonts w:asciiTheme="minorHAnsi" w:hAnsiTheme="minorHAnsi" w:cstheme="minorBidi"/>
        </w:rPr>
        <w:t>. The higher end of the range would represent the largest margin that is cost-effective for both mixed-fuel and all-electric buildings. The higher end would require additional investments in energy efficiency and/or renewable energy for all-electric buildings, and substantial investments in efficiency, renewable energy and/or energy storage for mixed-fuel buildings.</w:t>
      </w:r>
    </w:p>
    <w:p w14:paraId="15225351" w14:textId="77777777" w:rsidR="00B55480" w:rsidRPr="00DA6592" w:rsidRDefault="00B55480" w:rsidP="0050713A"/>
    <w:p w14:paraId="701C4851" w14:textId="406FD872" w:rsidR="00D12C3A" w:rsidRDefault="006D7772" w:rsidP="00D12C3A">
      <w:pPr>
        <w:rPr>
          <w:rFonts w:asciiTheme="minorHAnsi" w:hAnsiTheme="minorHAnsi" w:cstheme="minorHAnsi"/>
        </w:rPr>
      </w:pPr>
      <w:r w:rsidRPr="00DA6592">
        <w:rPr>
          <w:rFonts w:asciiTheme="minorHAnsi" w:hAnsiTheme="minorHAnsi" w:cstheme="minorHAnsi"/>
        </w:rPr>
        <w:t xml:space="preserve">To understand the effect of different </w:t>
      </w:r>
      <w:r w:rsidR="00F24ADF">
        <w:rPr>
          <w:rFonts w:asciiTheme="minorHAnsi" w:hAnsiTheme="minorHAnsi" w:cstheme="minorHAnsi"/>
        </w:rPr>
        <w:t>measure packages</w:t>
      </w:r>
      <w:r w:rsidRPr="00DA6592">
        <w:rPr>
          <w:rFonts w:asciiTheme="minorHAnsi" w:hAnsiTheme="minorHAnsi" w:cstheme="minorHAnsi"/>
        </w:rPr>
        <w:t>, it is helpful to see where different designs fall within the range of possible marg</w:t>
      </w:r>
      <w:r w:rsidRPr="0025218F">
        <w:rPr>
          <w:rFonts w:asciiTheme="minorHAnsi" w:hAnsiTheme="minorHAnsi" w:cstheme="minorHAnsi"/>
        </w:rPr>
        <w:t>ins.</w:t>
      </w:r>
      <w:r w:rsidR="00D12C3A" w:rsidRPr="0025218F">
        <w:rPr>
          <w:rFonts w:asciiTheme="minorHAnsi" w:hAnsiTheme="minorHAnsi" w:cstheme="minorHAnsi"/>
        </w:rPr>
        <w:t xml:space="preserve"> The tables below illustrate the values in </w:t>
      </w:r>
      <w:r w:rsidR="00D12C3A" w:rsidRPr="0025218F">
        <w:rPr>
          <w:rFonts w:asciiTheme="minorHAnsi" w:hAnsiTheme="minorHAnsi" w:cstheme="minorHAnsi"/>
          <w:b/>
          <w:bCs/>
        </w:rPr>
        <w:t>Climate Zone 12</w:t>
      </w:r>
      <w:r w:rsidR="00D12C3A" w:rsidRPr="0025218F">
        <w:rPr>
          <w:rFonts w:asciiTheme="minorHAnsi" w:hAnsiTheme="minorHAnsi" w:cstheme="minorHAnsi"/>
        </w:rPr>
        <w:t xml:space="preserve">, in the Central Valley, which is well-suited for the source energy policy (see Attachment </w:t>
      </w:r>
      <w:r w:rsidR="00450160">
        <w:rPr>
          <w:rFonts w:asciiTheme="minorHAnsi" w:hAnsiTheme="minorHAnsi" w:cstheme="minorHAnsi"/>
        </w:rPr>
        <w:t>1</w:t>
      </w:r>
      <w:r w:rsidR="00D12C3A" w:rsidRPr="0025218F">
        <w:rPr>
          <w:rFonts w:asciiTheme="minorHAnsi" w:hAnsiTheme="minorHAnsi" w:cstheme="minorHAnsi"/>
        </w:rPr>
        <w:t xml:space="preserve"> for values for each climate zone). Each table presents a range</w:t>
      </w:r>
      <w:r w:rsidR="00D12C3A" w:rsidRPr="00DA6592">
        <w:rPr>
          <w:rFonts w:asciiTheme="minorHAnsi" w:hAnsiTheme="minorHAnsi" w:cstheme="minorHAnsi"/>
        </w:rPr>
        <w:t xml:space="preserve"> of margins, the design types that would satisfy each margin, the incremental initial capital cost of the design-type (as compared to the </w:t>
      </w:r>
      <w:r w:rsidR="00737988">
        <w:rPr>
          <w:rFonts w:asciiTheme="minorHAnsi" w:hAnsiTheme="minorHAnsi" w:cstheme="minorHAnsi"/>
        </w:rPr>
        <w:t>Business as Usual (</w:t>
      </w:r>
      <w:r w:rsidR="00D12C3A" w:rsidRPr="00DA6592">
        <w:rPr>
          <w:rFonts w:asciiTheme="minorHAnsi" w:hAnsiTheme="minorHAnsi" w:cstheme="minorHAnsi"/>
        </w:rPr>
        <w:t>BAU</w:t>
      </w:r>
      <w:r w:rsidR="00737988">
        <w:rPr>
          <w:rFonts w:asciiTheme="minorHAnsi" w:hAnsiTheme="minorHAnsi" w:cstheme="minorHAnsi"/>
        </w:rPr>
        <w:t>)</w:t>
      </w:r>
      <w:r w:rsidR="00D12C3A" w:rsidRPr="00DA6592">
        <w:rPr>
          <w:rFonts w:asciiTheme="minorHAnsi" w:hAnsiTheme="minorHAnsi" w:cstheme="minorHAnsi"/>
        </w:rPr>
        <w:t xml:space="preserve"> case, i.e., a mixed-fuel design that minimally complies with State code) and the </w:t>
      </w:r>
      <w:proofErr w:type="gramStart"/>
      <w:r w:rsidR="00D12C3A" w:rsidRPr="00DA6592">
        <w:rPr>
          <w:rFonts w:asciiTheme="minorHAnsi" w:hAnsiTheme="minorHAnsi" w:cstheme="minorHAnsi"/>
        </w:rPr>
        <w:t>first-year</w:t>
      </w:r>
      <w:proofErr w:type="gramEnd"/>
      <w:r w:rsidR="00D12C3A" w:rsidRPr="00DA6592">
        <w:rPr>
          <w:rFonts w:asciiTheme="minorHAnsi" w:hAnsiTheme="minorHAnsi" w:cstheme="minorHAnsi"/>
        </w:rPr>
        <w:t xml:space="preserve"> GHG reductions associated with the design type. (GHG reductions increase with time and reductions associated with all-electric homes will approach 100% as the electricity grid transitions to zero-carbon as planned by 2045.)</w:t>
      </w:r>
    </w:p>
    <w:p w14:paraId="2DC06D49" w14:textId="77777777" w:rsidR="006D7772" w:rsidRDefault="006D7772" w:rsidP="00D12C3A">
      <w:pPr>
        <w:rPr>
          <w:rFonts w:asciiTheme="minorHAnsi" w:hAnsiTheme="minorHAnsi" w:cstheme="minorHAnsi"/>
        </w:rPr>
      </w:pPr>
    </w:p>
    <w:p w14:paraId="161BEA80" w14:textId="38B7FDA4" w:rsidR="006D7772" w:rsidRPr="00DA6592" w:rsidRDefault="006D7772" w:rsidP="006D7772">
      <w:pPr>
        <w:rPr>
          <w:rFonts w:asciiTheme="minorHAnsi" w:hAnsiTheme="minorHAnsi" w:cstheme="minorHAnsi"/>
        </w:rPr>
      </w:pPr>
      <w:r w:rsidRPr="00F57EE3">
        <w:rPr>
          <w:rFonts w:asciiTheme="minorHAnsi" w:hAnsiTheme="minorHAnsi" w:cstheme="minorHAnsi"/>
        </w:rPr>
        <w:t>The table</w:t>
      </w:r>
      <w:r w:rsidR="001F6622" w:rsidRPr="00F57EE3">
        <w:rPr>
          <w:rFonts w:asciiTheme="minorHAnsi" w:hAnsiTheme="minorHAnsi" w:cstheme="minorHAnsi"/>
        </w:rPr>
        <w:t>s</w:t>
      </w:r>
      <w:r w:rsidRPr="00F57EE3">
        <w:rPr>
          <w:rFonts w:asciiTheme="minorHAnsi" w:hAnsiTheme="minorHAnsi" w:cstheme="minorHAnsi"/>
        </w:rPr>
        <w:t xml:space="preserve"> and figure</w:t>
      </w:r>
      <w:r w:rsidR="001F6622" w:rsidRPr="00F57EE3">
        <w:rPr>
          <w:rFonts w:asciiTheme="minorHAnsi" w:hAnsiTheme="minorHAnsi" w:cstheme="minorHAnsi"/>
        </w:rPr>
        <w:t>s</w:t>
      </w:r>
      <w:r w:rsidRPr="00F57EE3">
        <w:rPr>
          <w:rFonts w:asciiTheme="minorHAnsi" w:hAnsiTheme="minorHAnsi" w:cstheme="minorHAnsi"/>
        </w:rPr>
        <w:t xml:space="preserve"> to follow </w:t>
      </w:r>
      <w:r w:rsidR="001F6622" w:rsidRPr="00F57EE3">
        <w:rPr>
          <w:rFonts w:asciiTheme="minorHAnsi" w:hAnsiTheme="minorHAnsi" w:cstheme="minorHAnsi"/>
        </w:rPr>
        <w:t>compare the following designs:</w:t>
      </w:r>
    </w:p>
    <w:p w14:paraId="47FFFEF3" w14:textId="77777777" w:rsidR="006D7772" w:rsidRPr="00DA6592" w:rsidRDefault="006D7772" w:rsidP="006D7772">
      <w:pPr>
        <w:rPr>
          <w:rFonts w:asciiTheme="minorHAnsi" w:hAnsiTheme="minorHAnsi" w:cstheme="minorHAnsi"/>
        </w:rPr>
      </w:pPr>
    </w:p>
    <w:p w14:paraId="42E490EF" w14:textId="77777777" w:rsidR="006D7772" w:rsidRPr="00DA6592" w:rsidRDefault="006D7772" w:rsidP="006D7772">
      <w:pPr>
        <w:pStyle w:val="ListParagraph"/>
        <w:rPr>
          <w:rFonts w:asciiTheme="minorHAnsi" w:hAnsiTheme="minorHAnsi"/>
        </w:rPr>
      </w:pPr>
      <w:r w:rsidRPr="00DA6592">
        <w:rPr>
          <w:rFonts w:asciiTheme="minorHAnsi" w:hAnsiTheme="minorHAnsi"/>
        </w:rPr>
        <w:t>Business-As-Usual (BAU) – A mixed-fuel building that minimally complies with the State Code.</w:t>
      </w:r>
    </w:p>
    <w:p w14:paraId="559906CD" w14:textId="370E2E82" w:rsidR="006D7772" w:rsidRPr="00DA6592" w:rsidRDefault="006D7772" w:rsidP="006D7772">
      <w:pPr>
        <w:pStyle w:val="ListParagraph"/>
        <w:rPr>
          <w:rFonts w:asciiTheme="minorHAnsi" w:hAnsiTheme="minorHAnsi"/>
        </w:rPr>
      </w:pPr>
      <w:r w:rsidRPr="00DA6592">
        <w:rPr>
          <w:rFonts w:asciiTheme="minorHAnsi" w:hAnsiTheme="minorHAnsi"/>
        </w:rPr>
        <w:t>All-Electric Prescriptive Efficiency – An all-electric building that includes only those energy efficiency measures that are prescriptively required under the State Code.</w:t>
      </w:r>
    </w:p>
    <w:p w14:paraId="6AA6C87A" w14:textId="77777777" w:rsidR="006D7772" w:rsidRPr="00DA6592" w:rsidRDefault="006D7772" w:rsidP="006D7772">
      <w:pPr>
        <w:pStyle w:val="ListParagraph"/>
        <w:rPr>
          <w:rFonts w:asciiTheme="minorHAnsi" w:hAnsiTheme="minorHAnsi"/>
        </w:rPr>
      </w:pPr>
      <w:r w:rsidRPr="00DA6592">
        <w:rPr>
          <w:rFonts w:asciiTheme="minorHAnsi" w:hAnsiTheme="minorHAnsi"/>
        </w:rPr>
        <w:t xml:space="preserve">Efficiency, </w:t>
      </w:r>
      <w:proofErr w:type="gramStart"/>
      <w:r w:rsidRPr="00DA6592">
        <w:rPr>
          <w:rFonts w:asciiTheme="minorHAnsi" w:hAnsiTheme="minorHAnsi"/>
        </w:rPr>
        <w:t>PV</w:t>
      </w:r>
      <w:proofErr w:type="gramEnd"/>
      <w:r w:rsidRPr="00DA6592">
        <w:rPr>
          <w:rFonts w:asciiTheme="minorHAnsi" w:hAnsiTheme="minorHAnsi"/>
        </w:rPr>
        <w:t xml:space="preserve"> and Battery – A building that includes efficiency measures above those required prescriptively by </w:t>
      </w:r>
      <w:proofErr w:type="gramStart"/>
      <w:r w:rsidRPr="00DA6592">
        <w:rPr>
          <w:rFonts w:asciiTheme="minorHAnsi" w:hAnsiTheme="minorHAnsi"/>
        </w:rPr>
        <w:t>State</w:t>
      </w:r>
      <w:proofErr w:type="gramEnd"/>
      <w:r w:rsidRPr="00DA6592">
        <w:rPr>
          <w:rFonts w:asciiTheme="minorHAnsi" w:hAnsiTheme="minorHAnsi"/>
        </w:rPr>
        <w:t xml:space="preserve"> Code, additional solar PV, and battery storage. </w:t>
      </w:r>
    </w:p>
    <w:p w14:paraId="7335A32E" w14:textId="77777777" w:rsidR="003A0A11" w:rsidRPr="00DA6592" w:rsidRDefault="003A0A11" w:rsidP="00887E62">
      <w:pPr>
        <w:rPr>
          <w:rFonts w:asciiTheme="minorHAnsi" w:hAnsiTheme="minorHAnsi" w:cstheme="minorHAnsi"/>
        </w:rPr>
      </w:pPr>
    </w:p>
    <w:p w14:paraId="0ED6CA3B" w14:textId="1A442171" w:rsidR="00884E89" w:rsidRDefault="0060583E" w:rsidP="00887E62">
      <w:pPr>
        <w:rPr>
          <w:rFonts w:asciiTheme="minorHAnsi" w:hAnsiTheme="minorHAnsi" w:cstheme="minorBidi"/>
        </w:rPr>
      </w:pPr>
      <w:r w:rsidRPr="623E5710">
        <w:rPr>
          <w:rFonts w:asciiTheme="minorHAnsi" w:hAnsiTheme="minorHAnsi" w:cstheme="minorBidi"/>
        </w:rPr>
        <w:t>Table</w:t>
      </w:r>
      <w:r w:rsidR="007D01AF" w:rsidRPr="623E5710">
        <w:rPr>
          <w:rFonts w:asciiTheme="minorHAnsi" w:hAnsiTheme="minorHAnsi" w:cstheme="minorBidi"/>
        </w:rPr>
        <w:t xml:space="preserve"> </w:t>
      </w:r>
      <w:r w:rsidR="00B55480" w:rsidRPr="623E5710">
        <w:rPr>
          <w:rFonts w:asciiTheme="minorHAnsi" w:hAnsiTheme="minorHAnsi" w:cstheme="minorBidi"/>
        </w:rPr>
        <w:t>1</w:t>
      </w:r>
      <w:r w:rsidR="00D80DF9" w:rsidRPr="623E5710">
        <w:rPr>
          <w:rFonts w:asciiTheme="minorHAnsi" w:hAnsiTheme="minorHAnsi" w:cstheme="minorBidi"/>
        </w:rPr>
        <w:t xml:space="preserve"> </w:t>
      </w:r>
      <w:r w:rsidR="00F97551" w:rsidRPr="623E5710">
        <w:rPr>
          <w:rFonts w:asciiTheme="minorHAnsi" w:hAnsiTheme="minorHAnsi" w:cstheme="minorBidi"/>
        </w:rPr>
        <w:t>presents a range of margins</w:t>
      </w:r>
      <w:r w:rsidR="000424CB" w:rsidRPr="623E5710">
        <w:rPr>
          <w:rFonts w:asciiTheme="minorHAnsi" w:hAnsiTheme="minorHAnsi" w:cstheme="minorBidi"/>
        </w:rPr>
        <w:t xml:space="preserve"> for single family homes </w:t>
      </w:r>
      <w:r w:rsidR="00F97551" w:rsidRPr="623E5710">
        <w:rPr>
          <w:rFonts w:asciiTheme="minorHAnsi" w:hAnsiTheme="minorHAnsi" w:cstheme="minorBidi"/>
        </w:rPr>
        <w:t>and describes where the various design types fall within the range.</w:t>
      </w:r>
      <w:r w:rsidR="00F26E03" w:rsidRPr="623E5710">
        <w:rPr>
          <w:rFonts w:asciiTheme="minorHAnsi" w:hAnsiTheme="minorHAnsi" w:cstheme="minorBidi"/>
        </w:rPr>
        <w:t xml:space="preserve"> Under the existing State </w:t>
      </w:r>
      <w:r w:rsidR="69C10F75" w:rsidRPr="623E5710">
        <w:rPr>
          <w:rFonts w:asciiTheme="minorHAnsi" w:hAnsiTheme="minorHAnsi" w:cstheme="minorBidi"/>
        </w:rPr>
        <w:t>C</w:t>
      </w:r>
      <w:r w:rsidR="00F26E03" w:rsidRPr="623E5710">
        <w:rPr>
          <w:rFonts w:asciiTheme="minorHAnsi" w:hAnsiTheme="minorHAnsi" w:cstheme="minorBidi"/>
        </w:rPr>
        <w:t>ode</w:t>
      </w:r>
      <w:r w:rsidR="00452C53" w:rsidRPr="623E5710">
        <w:rPr>
          <w:rFonts w:asciiTheme="minorHAnsi" w:hAnsiTheme="minorHAnsi" w:cstheme="minorBidi"/>
        </w:rPr>
        <w:t xml:space="preserve"> (zero margin)</w:t>
      </w:r>
      <w:r w:rsidR="00F26E03" w:rsidRPr="623E5710">
        <w:rPr>
          <w:rFonts w:asciiTheme="minorHAnsi" w:hAnsiTheme="minorHAnsi" w:cstheme="minorBidi"/>
        </w:rPr>
        <w:t>, there is already an</w:t>
      </w:r>
      <w:r w:rsidR="00B4020C" w:rsidRPr="623E5710">
        <w:rPr>
          <w:rFonts w:asciiTheme="minorHAnsi" w:hAnsiTheme="minorHAnsi" w:cstheme="minorBidi"/>
        </w:rPr>
        <w:t xml:space="preserve"> incentive for all-electric buildings, which </w:t>
      </w:r>
      <w:r w:rsidR="003458F9" w:rsidRPr="623E5710">
        <w:rPr>
          <w:rFonts w:asciiTheme="minorHAnsi" w:hAnsiTheme="minorHAnsi" w:cstheme="minorBidi"/>
        </w:rPr>
        <w:t xml:space="preserve">can </w:t>
      </w:r>
      <w:r w:rsidR="00B4020C" w:rsidRPr="623E5710">
        <w:rPr>
          <w:rFonts w:asciiTheme="minorHAnsi" w:hAnsiTheme="minorHAnsi" w:cstheme="minorBidi"/>
        </w:rPr>
        <w:t>cost</w:t>
      </w:r>
      <w:r w:rsidR="00A24CBB" w:rsidRPr="623E5710">
        <w:rPr>
          <w:rFonts w:asciiTheme="minorHAnsi" w:hAnsiTheme="minorHAnsi" w:cstheme="minorBidi"/>
        </w:rPr>
        <w:t xml:space="preserve"> considerably less to build.</w:t>
      </w:r>
      <w:r w:rsidR="0046270B" w:rsidRPr="623E5710">
        <w:rPr>
          <w:rFonts w:asciiTheme="minorHAnsi" w:hAnsiTheme="minorHAnsi" w:cstheme="minorBidi"/>
        </w:rPr>
        <w:t xml:space="preserve"> </w:t>
      </w:r>
      <w:r w:rsidR="00A04377" w:rsidRPr="623E5710">
        <w:rPr>
          <w:rFonts w:asciiTheme="minorHAnsi" w:hAnsiTheme="minorHAnsi" w:cstheme="minorBidi"/>
        </w:rPr>
        <w:t xml:space="preserve">In Climate Zone </w:t>
      </w:r>
      <w:r w:rsidR="00D12C3A" w:rsidRPr="623E5710">
        <w:rPr>
          <w:rFonts w:asciiTheme="minorHAnsi" w:hAnsiTheme="minorHAnsi" w:cstheme="minorBidi"/>
        </w:rPr>
        <w:t>12</w:t>
      </w:r>
      <w:r w:rsidR="003E2D5E" w:rsidRPr="623E5710">
        <w:rPr>
          <w:rFonts w:asciiTheme="minorHAnsi" w:hAnsiTheme="minorHAnsi" w:cstheme="minorBidi"/>
        </w:rPr>
        <w:t xml:space="preserve"> for example</w:t>
      </w:r>
      <w:r w:rsidR="00A04377" w:rsidRPr="623E5710">
        <w:rPr>
          <w:rFonts w:asciiTheme="minorHAnsi" w:hAnsiTheme="minorHAnsi" w:cstheme="minorBidi"/>
        </w:rPr>
        <w:t xml:space="preserve">, </w:t>
      </w:r>
      <w:r w:rsidR="00A04377" w:rsidRPr="623E5710">
        <w:rPr>
          <w:rStyle w:val="normaltextrun"/>
          <w:rFonts w:asciiTheme="minorHAnsi" w:eastAsia="MS Mincho" w:hAnsiTheme="minorHAnsi" w:cstheme="minorBidi"/>
          <w:shd w:val="clear" w:color="auto" w:fill="FFFFFF"/>
        </w:rPr>
        <w:t>u</w:t>
      </w:r>
      <w:r w:rsidR="001D3444" w:rsidRPr="623E5710">
        <w:rPr>
          <w:rStyle w:val="normaltextrun"/>
          <w:rFonts w:asciiTheme="minorHAnsi" w:eastAsia="MS Mincho" w:hAnsiTheme="minorHAnsi" w:cstheme="minorBidi"/>
          <w:shd w:val="clear" w:color="auto" w:fill="FFFFFF"/>
        </w:rPr>
        <w:t xml:space="preserve">nder an EDR1 compliance margin equal to </w:t>
      </w:r>
      <w:r w:rsidR="00D12C3A" w:rsidRPr="623E5710">
        <w:rPr>
          <w:rStyle w:val="normaltextrun"/>
          <w:rFonts w:asciiTheme="minorHAnsi" w:eastAsia="MS Mincho" w:hAnsiTheme="minorHAnsi" w:cstheme="minorBidi"/>
          <w:shd w:val="clear" w:color="auto" w:fill="FFFFFF"/>
        </w:rPr>
        <w:t>11</w:t>
      </w:r>
      <w:r w:rsidR="00003456" w:rsidRPr="623E5710">
        <w:rPr>
          <w:rStyle w:val="normaltextrun"/>
          <w:rFonts w:asciiTheme="minorHAnsi" w:eastAsia="MS Mincho" w:hAnsiTheme="minorHAnsi" w:cstheme="minorBidi"/>
          <w:shd w:val="clear" w:color="auto" w:fill="FFFFFF"/>
        </w:rPr>
        <w:t xml:space="preserve"> </w:t>
      </w:r>
      <w:r w:rsidR="001D3444" w:rsidRPr="623E5710">
        <w:rPr>
          <w:rStyle w:val="normaltextrun"/>
          <w:rFonts w:asciiTheme="minorHAnsi" w:eastAsia="MS Mincho" w:hAnsiTheme="minorHAnsi" w:cstheme="minorBidi"/>
          <w:shd w:val="clear" w:color="auto" w:fill="FFFFFF"/>
        </w:rPr>
        <w:t>points, the All-Electric Prescriptive Efficiency design would comply and would cost $</w:t>
      </w:r>
      <w:r w:rsidR="008C0265" w:rsidRPr="623E5710">
        <w:rPr>
          <w:rStyle w:val="normaltextrun"/>
          <w:rFonts w:asciiTheme="minorHAnsi" w:eastAsia="MS Mincho" w:hAnsiTheme="minorHAnsi" w:cstheme="minorBidi"/>
          <w:shd w:val="clear" w:color="auto" w:fill="FFFFFF"/>
        </w:rPr>
        <w:t>7,0</w:t>
      </w:r>
      <w:r w:rsidR="00A04377" w:rsidRPr="623E5710">
        <w:rPr>
          <w:rStyle w:val="normaltextrun"/>
          <w:rFonts w:asciiTheme="minorHAnsi" w:eastAsia="MS Mincho" w:hAnsiTheme="minorHAnsi" w:cstheme="minorBidi"/>
          <w:shd w:val="clear" w:color="auto" w:fill="FFFFFF"/>
        </w:rPr>
        <w:t>00</w:t>
      </w:r>
      <w:r w:rsidR="001D3444" w:rsidRPr="623E5710">
        <w:rPr>
          <w:rStyle w:val="normaltextrun"/>
          <w:rFonts w:asciiTheme="minorHAnsi" w:eastAsia="MS Mincho" w:hAnsiTheme="minorHAnsi" w:cstheme="minorBidi"/>
          <w:shd w:val="clear" w:color="auto" w:fill="FFFFFF"/>
        </w:rPr>
        <w:t xml:space="preserve"> less than the Business-As-Usual design. At this margin</w:t>
      </w:r>
      <w:r w:rsidR="7027A5D9" w:rsidRPr="623E5710">
        <w:rPr>
          <w:rStyle w:val="normaltextrun"/>
          <w:rFonts w:asciiTheme="minorHAnsi" w:eastAsia="MS Mincho" w:hAnsiTheme="minorHAnsi" w:cstheme="minorBidi"/>
        </w:rPr>
        <w:t>, however,</w:t>
      </w:r>
      <w:r w:rsidR="001D3444" w:rsidRPr="623E5710">
        <w:rPr>
          <w:rStyle w:val="normaltextrun"/>
          <w:rFonts w:asciiTheme="minorHAnsi" w:eastAsia="MS Mincho" w:hAnsiTheme="minorHAnsi" w:cstheme="minorBidi"/>
          <w:shd w:val="clear" w:color="auto" w:fill="FFFFFF"/>
        </w:rPr>
        <w:t xml:space="preserve"> a mixed-fuel building would need to </w:t>
      </w:r>
      <w:r w:rsidR="00E11D4C" w:rsidRPr="623E5710">
        <w:rPr>
          <w:rFonts w:asciiTheme="minorHAnsi" w:hAnsiTheme="minorHAnsi" w:cstheme="minorBidi"/>
        </w:rPr>
        <w:t xml:space="preserve">install </w:t>
      </w:r>
      <w:r w:rsidR="00D12C3A" w:rsidRPr="623E5710">
        <w:rPr>
          <w:rStyle w:val="normaltextrun"/>
          <w:rFonts w:asciiTheme="minorHAnsi" w:eastAsia="MS Mincho" w:hAnsiTheme="minorHAnsi" w:cstheme="minorBidi"/>
          <w:shd w:val="clear" w:color="auto" w:fill="FFFFFF"/>
        </w:rPr>
        <w:t xml:space="preserve">some </w:t>
      </w:r>
      <w:r w:rsidR="00D12C3A" w:rsidRPr="623E5710">
        <w:rPr>
          <w:rStyle w:val="normaltextrun"/>
          <w:rFonts w:asciiTheme="minorHAnsi" w:eastAsia="MS Mincho" w:hAnsiTheme="minorHAnsi" w:cstheme="minorBidi"/>
          <w:shd w:val="clear" w:color="auto" w:fill="FFFFFF"/>
        </w:rPr>
        <w:lastRenderedPageBreak/>
        <w:t xml:space="preserve">combination of </w:t>
      </w:r>
      <w:r w:rsidR="00E11D4C" w:rsidRPr="623E5710">
        <w:rPr>
          <w:rFonts w:asciiTheme="minorHAnsi" w:hAnsiTheme="minorHAnsi" w:cstheme="minorBidi"/>
        </w:rPr>
        <w:t>additional efficiency measures</w:t>
      </w:r>
      <w:r w:rsidR="00D12C3A" w:rsidRPr="623E5710">
        <w:rPr>
          <w:rFonts w:asciiTheme="minorHAnsi" w:hAnsiTheme="minorHAnsi" w:cstheme="minorBidi"/>
        </w:rPr>
        <w:t xml:space="preserve">, </w:t>
      </w:r>
      <w:r w:rsidR="00E11D4C" w:rsidRPr="623E5710">
        <w:rPr>
          <w:rFonts w:asciiTheme="minorHAnsi" w:hAnsiTheme="minorHAnsi" w:cstheme="minorBidi"/>
        </w:rPr>
        <w:t xml:space="preserve">additional solar </w:t>
      </w:r>
      <w:proofErr w:type="gramStart"/>
      <w:r w:rsidR="00E11D4C" w:rsidRPr="623E5710">
        <w:rPr>
          <w:rFonts w:asciiTheme="minorHAnsi" w:hAnsiTheme="minorHAnsi" w:cstheme="minorBidi"/>
        </w:rPr>
        <w:t>PV</w:t>
      </w:r>
      <w:proofErr w:type="gramEnd"/>
      <w:r w:rsidR="00D12C3A" w:rsidRPr="623E5710">
        <w:rPr>
          <w:rFonts w:asciiTheme="minorHAnsi" w:hAnsiTheme="minorHAnsi" w:cstheme="minorBidi"/>
        </w:rPr>
        <w:t xml:space="preserve"> and battery storage</w:t>
      </w:r>
      <w:r w:rsidR="00D12C3A" w:rsidRPr="623E5710">
        <w:rPr>
          <w:rFonts w:asciiTheme="minorHAnsi" w:eastAsia="MS Mincho" w:hAnsiTheme="minorHAnsi" w:cstheme="minorBidi"/>
        </w:rPr>
        <w:t xml:space="preserve"> </w:t>
      </w:r>
      <w:r w:rsidR="00D12C3A" w:rsidRPr="623E5710">
        <w:rPr>
          <w:rStyle w:val="normaltextrun"/>
          <w:rFonts w:asciiTheme="minorHAnsi" w:eastAsia="MS Mincho" w:hAnsiTheme="minorHAnsi" w:cstheme="minorBidi"/>
          <w:shd w:val="clear" w:color="auto" w:fill="FFFFFF"/>
        </w:rPr>
        <w:t>at an incremental cost of up to $</w:t>
      </w:r>
      <w:r w:rsidR="003938EF" w:rsidRPr="623E5710">
        <w:rPr>
          <w:rStyle w:val="normaltextrun"/>
          <w:rFonts w:asciiTheme="minorHAnsi" w:eastAsia="MS Mincho" w:hAnsiTheme="minorHAnsi" w:cstheme="minorBidi"/>
          <w:shd w:val="clear" w:color="auto" w:fill="FFFFFF"/>
        </w:rPr>
        <w:t>9,0</w:t>
      </w:r>
      <w:r w:rsidR="00D12C3A" w:rsidRPr="623E5710">
        <w:rPr>
          <w:rStyle w:val="normaltextrun"/>
          <w:rFonts w:asciiTheme="minorHAnsi" w:eastAsia="MS Mincho" w:hAnsiTheme="minorHAnsi" w:cstheme="minorBidi"/>
          <w:shd w:val="clear" w:color="auto" w:fill="FFFFFF"/>
        </w:rPr>
        <w:t xml:space="preserve">00. </w:t>
      </w:r>
      <w:r w:rsidR="00AC33E4" w:rsidRPr="623E5710">
        <w:rPr>
          <w:rStyle w:val="normaltextrun"/>
          <w:rFonts w:asciiTheme="minorHAnsi" w:eastAsia="MS Mincho" w:hAnsiTheme="minorHAnsi" w:cstheme="minorBidi"/>
          <w:shd w:val="clear" w:color="auto" w:fill="FFFFFF"/>
        </w:rPr>
        <w:t>The 11</w:t>
      </w:r>
      <w:r w:rsidR="0025218F" w:rsidRPr="623E5710">
        <w:rPr>
          <w:rStyle w:val="normaltextrun"/>
          <w:rFonts w:asciiTheme="minorHAnsi" w:eastAsia="MS Mincho" w:hAnsiTheme="minorHAnsi" w:cstheme="minorBidi"/>
          <w:shd w:val="clear" w:color="auto" w:fill="FFFFFF"/>
        </w:rPr>
        <w:t>-</w:t>
      </w:r>
      <w:r w:rsidR="00AC33E4" w:rsidRPr="623E5710">
        <w:rPr>
          <w:rStyle w:val="normaltextrun"/>
          <w:rFonts w:asciiTheme="minorHAnsi" w:eastAsia="MS Mincho" w:hAnsiTheme="minorHAnsi" w:cstheme="minorBidi"/>
          <w:shd w:val="clear" w:color="auto" w:fill="FFFFFF"/>
        </w:rPr>
        <w:t xml:space="preserve">point </w:t>
      </w:r>
      <w:r w:rsidR="00C93786" w:rsidRPr="623E5710">
        <w:rPr>
          <w:rStyle w:val="normaltextrun"/>
          <w:rFonts w:asciiTheme="minorHAnsi" w:eastAsia="MS Mincho" w:hAnsiTheme="minorHAnsi" w:cstheme="minorBidi"/>
          <w:shd w:val="clear" w:color="auto" w:fill="FFFFFF"/>
        </w:rPr>
        <w:t xml:space="preserve">margin </w:t>
      </w:r>
      <w:r w:rsidR="00AC33E4" w:rsidRPr="623E5710">
        <w:rPr>
          <w:rStyle w:val="normaltextrun"/>
          <w:rFonts w:asciiTheme="minorHAnsi" w:eastAsia="MS Mincho" w:hAnsiTheme="minorHAnsi" w:cstheme="minorBidi"/>
          <w:shd w:val="clear" w:color="auto" w:fill="FFFFFF"/>
        </w:rPr>
        <w:t xml:space="preserve">is both reasonably </w:t>
      </w:r>
      <w:r w:rsidR="00CD6288" w:rsidRPr="623E5710">
        <w:rPr>
          <w:rStyle w:val="normaltextrun"/>
          <w:rFonts w:asciiTheme="minorHAnsi" w:eastAsia="MS Mincho" w:hAnsiTheme="minorHAnsi" w:cstheme="minorBidi"/>
          <w:shd w:val="clear" w:color="auto" w:fill="FFFFFF"/>
        </w:rPr>
        <w:t>achievable</w:t>
      </w:r>
      <w:r w:rsidR="00AC33E4" w:rsidRPr="623E5710">
        <w:rPr>
          <w:rStyle w:val="normaltextrun"/>
          <w:rFonts w:asciiTheme="minorHAnsi" w:eastAsia="MS Mincho" w:hAnsiTheme="minorHAnsi" w:cstheme="minorBidi"/>
          <w:shd w:val="clear" w:color="auto" w:fill="FFFFFF"/>
        </w:rPr>
        <w:t xml:space="preserve"> and provides </w:t>
      </w:r>
      <w:r w:rsidR="00CD6288" w:rsidRPr="623E5710">
        <w:rPr>
          <w:rStyle w:val="normaltextrun"/>
          <w:rFonts w:asciiTheme="minorHAnsi" w:eastAsia="MS Mincho" w:hAnsiTheme="minorHAnsi" w:cstheme="minorBidi"/>
          <w:shd w:val="clear" w:color="auto" w:fill="FFFFFF"/>
        </w:rPr>
        <w:t xml:space="preserve">strong encouragement to build all electric. </w:t>
      </w:r>
      <w:r w:rsidR="003C1117" w:rsidRPr="623E5710">
        <w:rPr>
          <w:rFonts w:asciiTheme="minorHAnsi" w:hAnsiTheme="minorHAnsi" w:cstheme="minorBidi"/>
        </w:rPr>
        <w:t xml:space="preserve">GHG reductions for the typical all-electric home </w:t>
      </w:r>
      <w:r w:rsidR="00D12C3A" w:rsidRPr="623E5710">
        <w:rPr>
          <w:rFonts w:asciiTheme="minorHAnsi" w:hAnsiTheme="minorHAnsi" w:cstheme="minorBidi"/>
        </w:rPr>
        <w:t xml:space="preserve">are estimated to be 36% </w:t>
      </w:r>
      <w:r w:rsidR="003C1117" w:rsidRPr="623E5710">
        <w:rPr>
          <w:rFonts w:asciiTheme="minorHAnsi" w:hAnsiTheme="minorHAnsi" w:cstheme="minorBidi"/>
        </w:rPr>
        <w:t xml:space="preserve">with the standard electricity </w:t>
      </w:r>
      <w:r w:rsidR="00A36E60" w:rsidRPr="623E5710">
        <w:rPr>
          <w:rFonts w:asciiTheme="minorHAnsi" w:hAnsiTheme="minorHAnsi" w:cstheme="minorBidi"/>
        </w:rPr>
        <w:t>mix and</w:t>
      </w:r>
      <w:r w:rsidR="00B457DD" w:rsidRPr="623E5710">
        <w:rPr>
          <w:rFonts w:asciiTheme="minorHAnsi" w:hAnsiTheme="minorHAnsi" w:cstheme="minorBidi"/>
        </w:rPr>
        <w:t xml:space="preserve"> would approach </w:t>
      </w:r>
      <w:r w:rsidR="003C1117" w:rsidRPr="623E5710">
        <w:rPr>
          <w:rFonts w:asciiTheme="minorHAnsi" w:hAnsiTheme="minorHAnsi" w:cstheme="minorBidi"/>
        </w:rPr>
        <w:t xml:space="preserve">100% with a zero-carbon electricity supply. An emission reduction of </w:t>
      </w:r>
      <w:r w:rsidR="005D0F0C" w:rsidRPr="623E5710">
        <w:rPr>
          <w:rFonts w:asciiTheme="minorHAnsi" w:hAnsiTheme="minorHAnsi" w:cstheme="minorBidi"/>
        </w:rPr>
        <w:t>up to 39</w:t>
      </w:r>
      <w:r w:rsidR="00D8374E" w:rsidRPr="623E5710">
        <w:rPr>
          <w:rFonts w:asciiTheme="minorHAnsi" w:hAnsiTheme="minorHAnsi" w:cstheme="minorBidi"/>
        </w:rPr>
        <w:t>%</w:t>
      </w:r>
      <w:r w:rsidR="003C1117" w:rsidRPr="623E5710">
        <w:rPr>
          <w:rFonts w:asciiTheme="minorHAnsi" w:hAnsiTheme="minorHAnsi" w:cstheme="minorBidi"/>
        </w:rPr>
        <w:t xml:space="preserve"> </w:t>
      </w:r>
      <w:r w:rsidR="00D8374E" w:rsidRPr="623E5710">
        <w:rPr>
          <w:rFonts w:asciiTheme="minorHAnsi" w:hAnsiTheme="minorHAnsi" w:cstheme="minorBidi"/>
        </w:rPr>
        <w:t>could be</w:t>
      </w:r>
      <w:r w:rsidR="003C1117" w:rsidRPr="623E5710">
        <w:rPr>
          <w:rFonts w:asciiTheme="minorHAnsi" w:hAnsiTheme="minorHAnsi" w:cstheme="minorBidi"/>
        </w:rPr>
        <w:t xml:space="preserve"> expected for similar mixed-fuel homes with the standard electricity mix, and a somewhat greater reduction is expected with a </w:t>
      </w:r>
      <w:r w:rsidR="00FE1206" w:rsidRPr="623E5710">
        <w:rPr>
          <w:rFonts w:asciiTheme="minorHAnsi" w:hAnsiTheme="minorHAnsi" w:cstheme="minorBidi"/>
        </w:rPr>
        <w:t>low-carbon</w:t>
      </w:r>
      <w:r w:rsidR="003C1117" w:rsidRPr="623E5710">
        <w:rPr>
          <w:rFonts w:asciiTheme="minorHAnsi" w:hAnsiTheme="minorHAnsi" w:cstheme="minorBidi"/>
        </w:rPr>
        <w:t xml:space="preserve"> electricity mix.</w:t>
      </w:r>
    </w:p>
    <w:p w14:paraId="1F397479" w14:textId="77777777" w:rsidR="002F7F17" w:rsidRPr="00DA6592" w:rsidRDefault="002F7F17" w:rsidP="00887E62">
      <w:pPr>
        <w:rPr>
          <w:rFonts w:asciiTheme="minorHAnsi" w:eastAsia="MS Mincho" w:hAnsiTheme="minorHAnsi" w:cstheme="minorHAnsi"/>
          <w:shd w:val="clear" w:color="auto" w:fill="FFFFFF"/>
        </w:rPr>
      </w:pPr>
    </w:p>
    <w:p w14:paraId="08E0CF16" w14:textId="5816D372" w:rsidR="001D76F2" w:rsidRPr="00E33CFF" w:rsidRDefault="001D76F2" w:rsidP="00AA3ED7">
      <w:pPr>
        <w:keepNext/>
        <w:spacing w:after="60"/>
        <w:rPr>
          <w:rFonts w:asciiTheme="minorHAnsi" w:hAnsiTheme="minorHAnsi" w:cstheme="minorHAnsi"/>
          <w:b/>
          <w:color w:val="3D728A"/>
          <w:sz w:val="28"/>
          <w:szCs w:val="28"/>
        </w:rPr>
      </w:pPr>
      <w:r w:rsidRPr="00E33CFF">
        <w:rPr>
          <w:rFonts w:asciiTheme="minorHAnsi" w:hAnsiTheme="minorHAnsi" w:cstheme="minorHAnsi"/>
          <w:b/>
          <w:color w:val="3D728A"/>
          <w:sz w:val="28"/>
          <w:szCs w:val="28"/>
        </w:rPr>
        <w:t xml:space="preserve">Table </w:t>
      </w:r>
      <w:r w:rsidRPr="00E33CFF">
        <w:rPr>
          <w:rFonts w:asciiTheme="minorHAnsi" w:hAnsiTheme="minorHAnsi" w:cstheme="minorHAnsi"/>
          <w:b/>
          <w:bCs/>
          <w:color w:val="3D728A"/>
          <w:sz w:val="28"/>
          <w:szCs w:val="28"/>
        </w:rPr>
        <w:t>1</w:t>
      </w:r>
      <w:r w:rsidRPr="00E33CFF">
        <w:rPr>
          <w:rFonts w:asciiTheme="minorHAnsi" w:hAnsiTheme="minorHAnsi" w:cstheme="minorHAnsi"/>
          <w:b/>
          <w:color w:val="3D728A"/>
          <w:sz w:val="28"/>
          <w:szCs w:val="28"/>
        </w:rPr>
        <w:t xml:space="preserve">: </w:t>
      </w:r>
      <w:r w:rsidR="00796564" w:rsidRPr="00E33CFF">
        <w:rPr>
          <w:rFonts w:asciiTheme="minorHAnsi" w:hAnsiTheme="minorHAnsi" w:cstheme="minorHAnsi"/>
          <w:b/>
          <w:color w:val="3D728A"/>
          <w:sz w:val="28"/>
          <w:szCs w:val="28"/>
        </w:rPr>
        <w:t xml:space="preserve">Standard </w:t>
      </w:r>
      <w:r w:rsidRPr="00E33CFF">
        <w:rPr>
          <w:rFonts w:asciiTheme="minorHAnsi" w:hAnsiTheme="minorHAnsi" w:cstheme="minorHAnsi"/>
          <w:b/>
          <w:color w:val="3D728A"/>
          <w:sz w:val="28"/>
          <w:szCs w:val="28"/>
        </w:rPr>
        <w:t>Single Family Design Types and Margins – Climate Zone 12</w:t>
      </w:r>
    </w:p>
    <w:tbl>
      <w:tblPr>
        <w:tblW w:w="9445" w:type="dxa"/>
        <w:tblLook w:val="04A0" w:firstRow="1" w:lastRow="0" w:firstColumn="1" w:lastColumn="0" w:noHBand="0" w:noVBand="1"/>
      </w:tblPr>
      <w:tblGrid>
        <w:gridCol w:w="1359"/>
        <w:gridCol w:w="3601"/>
        <w:gridCol w:w="1377"/>
        <w:gridCol w:w="1578"/>
        <w:gridCol w:w="1530"/>
      </w:tblGrid>
      <w:tr w:rsidR="00DF57E8" w14:paraId="088A5FA2" w14:textId="77777777" w:rsidTr="006E07AE">
        <w:trPr>
          <w:trHeight w:val="680"/>
        </w:trPr>
        <w:tc>
          <w:tcPr>
            <w:tcW w:w="13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5AFD54" w14:textId="77777777" w:rsidR="00DF57E8" w:rsidRDefault="00DF57E8" w:rsidP="006E07AE">
            <w:pPr>
              <w:rPr>
                <w:rFonts w:ascii="Calibri" w:hAnsi="Calibri" w:cs="Calibri"/>
                <w:b/>
                <w:bCs/>
                <w:color w:val="000000"/>
              </w:rPr>
            </w:pPr>
            <w:r>
              <w:rPr>
                <w:rFonts w:ascii="Calibri" w:hAnsi="Calibri" w:cs="Calibri"/>
                <w:b/>
                <w:bCs/>
                <w:color w:val="000000"/>
              </w:rPr>
              <w:t>Fuel</w:t>
            </w:r>
          </w:p>
        </w:tc>
        <w:tc>
          <w:tcPr>
            <w:tcW w:w="3601" w:type="dxa"/>
            <w:tcBorders>
              <w:top w:val="single" w:sz="4" w:space="0" w:color="auto"/>
              <w:left w:val="nil"/>
              <w:bottom w:val="single" w:sz="4" w:space="0" w:color="auto"/>
              <w:right w:val="single" w:sz="4" w:space="0" w:color="auto"/>
            </w:tcBorders>
            <w:shd w:val="clear" w:color="auto" w:fill="auto"/>
            <w:vAlign w:val="center"/>
            <w:hideMark/>
          </w:tcPr>
          <w:p w14:paraId="74B53EAD" w14:textId="77777777" w:rsidR="00DF57E8" w:rsidRDefault="00DF57E8" w:rsidP="006E07AE">
            <w:pPr>
              <w:rPr>
                <w:rFonts w:ascii="Calibri" w:hAnsi="Calibri" w:cs="Calibri"/>
                <w:b/>
                <w:bCs/>
                <w:color w:val="000000"/>
              </w:rPr>
            </w:pPr>
            <w:r>
              <w:rPr>
                <w:rFonts w:ascii="Calibri" w:hAnsi="Calibri" w:cs="Calibri"/>
                <w:b/>
                <w:bCs/>
                <w:color w:val="000000"/>
              </w:rPr>
              <w:t>Design Type</w:t>
            </w:r>
          </w:p>
        </w:tc>
        <w:tc>
          <w:tcPr>
            <w:tcW w:w="1377" w:type="dxa"/>
            <w:tcBorders>
              <w:top w:val="single" w:sz="4" w:space="0" w:color="auto"/>
              <w:left w:val="nil"/>
              <w:bottom w:val="single" w:sz="4" w:space="0" w:color="auto"/>
              <w:right w:val="single" w:sz="4" w:space="0" w:color="auto"/>
            </w:tcBorders>
            <w:shd w:val="clear" w:color="auto" w:fill="auto"/>
            <w:vAlign w:val="center"/>
            <w:hideMark/>
          </w:tcPr>
          <w:p w14:paraId="683277C5" w14:textId="77777777" w:rsidR="00DF57E8" w:rsidRDefault="00DF57E8" w:rsidP="006E07AE">
            <w:pPr>
              <w:jc w:val="center"/>
              <w:rPr>
                <w:rFonts w:ascii="Calibri" w:hAnsi="Calibri" w:cs="Calibri"/>
                <w:b/>
                <w:bCs/>
                <w:color w:val="000000"/>
              </w:rPr>
            </w:pPr>
            <w:r>
              <w:rPr>
                <w:rFonts w:ascii="Calibri" w:hAnsi="Calibri" w:cs="Calibri"/>
                <w:b/>
                <w:bCs/>
                <w:color w:val="000000"/>
              </w:rPr>
              <w:t>EDR1 Margin</w:t>
            </w:r>
          </w:p>
        </w:tc>
        <w:tc>
          <w:tcPr>
            <w:tcW w:w="1578" w:type="dxa"/>
            <w:tcBorders>
              <w:top w:val="single" w:sz="4" w:space="0" w:color="auto"/>
              <w:left w:val="nil"/>
              <w:bottom w:val="single" w:sz="4" w:space="0" w:color="auto"/>
              <w:right w:val="single" w:sz="4" w:space="0" w:color="auto"/>
            </w:tcBorders>
            <w:shd w:val="clear" w:color="auto" w:fill="auto"/>
            <w:vAlign w:val="center"/>
            <w:hideMark/>
          </w:tcPr>
          <w:p w14:paraId="7329A33F" w14:textId="77777777" w:rsidR="00DF57E8" w:rsidRDefault="00DF57E8" w:rsidP="006E07AE">
            <w:pPr>
              <w:jc w:val="center"/>
              <w:rPr>
                <w:rFonts w:ascii="Calibri" w:hAnsi="Calibri" w:cs="Calibri"/>
                <w:b/>
                <w:bCs/>
                <w:color w:val="000000"/>
              </w:rPr>
            </w:pPr>
            <w:r>
              <w:rPr>
                <w:rFonts w:ascii="Calibri" w:hAnsi="Calibri" w:cs="Calibri"/>
                <w:b/>
                <w:bCs/>
                <w:color w:val="000000"/>
              </w:rPr>
              <w:t>Initial Capital Cost</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1F688A32" w14:textId="77777777" w:rsidR="00DF57E8" w:rsidRDefault="00DF57E8" w:rsidP="006E07AE">
            <w:pPr>
              <w:jc w:val="center"/>
              <w:rPr>
                <w:rFonts w:ascii="Calibri" w:hAnsi="Calibri" w:cs="Calibri"/>
                <w:b/>
                <w:bCs/>
                <w:color w:val="000000"/>
              </w:rPr>
            </w:pPr>
            <w:r>
              <w:rPr>
                <w:rFonts w:ascii="Calibri" w:hAnsi="Calibri" w:cs="Calibri"/>
                <w:b/>
                <w:bCs/>
                <w:color w:val="000000"/>
              </w:rPr>
              <w:t>GHG Reductions</w:t>
            </w:r>
          </w:p>
        </w:tc>
      </w:tr>
      <w:tr w:rsidR="00DF57E8" w14:paraId="76768BF9" w14:textId="77777777" w:rsidTr="006E07AE">
        <w:trPr>
          <w:trHeight w:val="300"/>
        </w:trPr>
        <w:tc>
          <w:tcPr>
            <w:tcW w:w="1359" w:type="dxa"/>
            <w:vMerge w:val="restart"/>
            <w:tcBorders>
              <w:top w:val="nil"/>
              <w:left w:val="single" w:sz="4" w:space="0" w:color="auto"/>
              <w:bottom w:val="nil"/>
              <w:right w:val="single" w:sz="4" w:space="0" w:color="auto"/>
            </w:tcBorders>
            <w:shd w:val="clear" w:color="auto" w:fill="auto"/>
            <w:vAlign w:val="center"/>
            <w:hideMark/>
          </w:tcPr>
          <w:p w14:paraId="3F83778F" w14:textId="77777777" w:rsidR="00DF57E8" w:rsidRDefault="00DF57E8">
            <w:pPr>
              <w:rPr>
                <w:rFonts w:ascii="Calibri" w:hAnsi="Calibri" w:cs="Calibri"/>
                <w:b/>
                <w:bCs/>
                <w:color w:val="000000"/>
                <w:sz w:val="22"/>
                <w:szCs w:val="22"/>
              </w:rPr>
            </w:pPr>
            <w:r>
              <w:rPr>
                <w:rFonts w:ascii="Calibri" w:hAnsi="Calibri" w:cs="Calibri"/>
                <w:b/>
                <w:bCs/>
                <w:color w:val="000000"/>
                <w:sz w:val="22"/>
                <w:szCs w:val="22"/>
              </w:rPr>
              <w:t>Mixed-Fuel</w:t>
            </w:r>
          </w:p>
        </w:tc>
        <w:tc>
          <w:tcPr>
            <w:tcW w:w="3601" w:type="dxa"/>
            <w:tcBorders>
              <w:top w:val="nil"/>
              <w:left w:val="nil"/>
              <w:bottom w:val="single" w:sz="4" w:space="0" w:color="auto"/>
              <w:right w:val="single" w:sz="4" w:space="0" w:color="auto"/>
            </w:tcBorders>
            <w:shd w:val="clear" w:color="auto" w:fill="auto"/>
            <w:noWrap/>
            <w:vAlign w:val="bottom"/>
            <w:hideMark/>
          </w:tcPr>
          <w:p w14:paraId="318E7B26" w14:textId="77777777" w:rsidR="00DF57E8" w:rsidRDefault="00DF57E8">
            <w:pPr>
              <w:rPr>
                <w:rFonts w:ascii="Calibri" w:hAnsi="Calibri" w:cs="Calibri"/>
                <w:color w:val="000000"/>
                <w:sz w:val="22"/>
                <w:szCs w:val="22"/>
              </w:rPr>
            </w:pPr>
            <w:r>
              <w:rPr>
                <w:rFonts w:ascii="Calibri" w:hAnsi="Calibri" w:cs="Calibri"/>
                <w:color w:val="000000"/>
                <w:sz w:val="22"/>
                <w:szCs w:val="22"/>
              </w:rPr>
              <w:t>Business-As-Usual (zero margin)</w:t>
            </w:r>
          </w:p>
        </w:tc>
        <w:tc>
          <w:tcPr>
            <w:tcW w:w="1377" w:type="dxa"/>
            <w:tcBorders>
              <w:top w:val="nil"/>
              <w:left w:val="nil"/>
              <w:bottom w:val="single" w:sz="4" w:space="0" w:color="auto"/>
              <w:right w:val="single" w:sz="4" w:space="0" w:color="auto"/>
            </w:tcBorders>
            <w:shd w:val="clear" w:color="auto" w:fill="auto"/>
            <w:noWrap/>
            <w:vAlign w:val="bottom"/>
            <w:hideMark/>
          </w:tcPr>
          <w:p w14:paraId="42171E3F" w14:textId="5AEB1F93" w:rsidR="00DF57E8" w:rsidRDefault="0036476D" w:rsidP="00411638">
            <w:pPr>
              <w:jc w:val="center"/>
              <w:rPr>
                <w:rFonts w:ascii="Calibri" w:hAnsi="Calibri" w:cs="Calibri"/>
                <w:color w:val="000000"/>
                <w:sz w:val="22"/>
                <w:szCs w:val="22"/>
              </w:rPr>
            </w:pPr>
            <w:r>
              <w:rPr>
                <w:rFonts w:ascii="Calibri" w:hAnsi="Calibri" w:cs="Calibri"/>
                <w:color w:val="000000"/>
                <w:sz w:val="22"/>
                <w:szCs w:val="22"/>
              </w:rPr>
              <w:t>-</w:t>
            </w:r>
          </w:p>
        </w:tc>
        <w:tc>
          <w:tcPr>
            <w:tcW w:w="1578" w:type="dxa"/>
            <w:tcBorders>
              <w:top w:val="nil"/>
              <w:left w:val="nil"/>
              <w:bottom w:val="single" w:sz="4" w:space="0" w:color="auto"/>
              <w:right w:val="single" w:sz="4" w:space="0" w:color="auto"/>
            </w:tcBorders>
            <w:shd w:val="clear" w:color="auto" w:fill="auto"/>
            <w:noWrap/>
            <w:vAlign w:val="bottom"/>
            <w:hideMark/>
          </w:tcPr>
          <w:p w14:paraId="0BF02EA2" w14:textId="3213AD9E" w:rsidR="00DF57E8" w:rsidRDefault="0036476D" w:rsidP="0036476D">
            <w:pPr>
              <w:jc w:val="center"/>
              <w:rPr>
                <w:rFonts w:ascii="Calibri" w:hAnsi="Calibri" w:cs="Calibri"/>
                <w:color w:val="000000"/>
                <w:sz w:val="22"/>
                <w:szCs w:val="22"/>
              </w:rPr>
            </w:pPr>
            <w:r>
              <w:rPr>
                <w:rFonts w:ascii="Calibri" w:hAnsi="Calibri" w:cs="Calibri"/>
                <w:color w:val="000000"/>
                <w:sz w:val="22"/>
                <w:szCs w:val="22"/>
              </w:rPr>
              <w:t>1</w:t>
            </w:r>
          </w:p>
        </w:tc>
        <w:tc>
          <w:tcPr>
            <w:tcW w:w="1530" w:type="dxa"/>
            <w:tcBorders>
              <w:top w:val="nil"/>
              <w:left w:val="nil"/>
              <w:bottom w:val="single" w:sz="4" w:space="0" w:color="auto"/>
              <w:right w:val="single" w:sz="4" w:space="0" w:color="auto"/>
            </w:tcBorders>
            <w:shd w:val="clear" w:color="auto" w:fill="auto"/>
            <w:noWrap/>
            <w:vAlign w:val="bottom"/>
            <w:hideMark/>
          </w:tcPr>
          <w:p w14:paraId="1839A4DE" w14:textId="71CB8DF5" w:rsidR="00DF57E8" w:rsidRDefault="0036476D" w:rsidP="0036476D">
            <w:pPr>
              <w:jc w:val="center"/>
              <w:rPr>
                <w:rFonts w:ascii="Calibri" w:hAnsi="Calibri" w:cs="Calibri"/>
                <w:color w:val="000000"/>
                <w:sz w:val="22"/>
                <w:szCs w:val="22"/>
              </w:rPr>
            </w:pPr>
            <w:r>
              <w:rPr>
                <w:rFonts w:ascii="Calibri" w:hAnsi="Calibri" w:cs="Calibri"/>
                <w:color w:val="000000"/>
                <w:sz w:val="22"/>
                <w:szCs w:val="22"/>
              </w:rPr>
              <w:t>1</w:t>
            </w:r>
          </w:p>
        </w:tc>
      </w:tr>
      <w:tr w:rsidR="00DF57E8" w14:paraId="65B7370F" w14:textId="77777777" w:rsidTr="006E07AE">
        <w:trPr>
          <w:trHeight w:val="320"/>
        </w:trPr>
        <w:tc>
          <w:tcPr>
            <w:tcW w:w="1359" w:type="dxa"/>
            <w:vMerge/>
            <w:tcBorders>
              <w:top w:val="nil"/>
              <w:left w:val="single" w:sz="4" w:space="0" w:color="auto"/>
              <w:bottom w:val="nil"/>
              <w:right w:val="single" w:sz="4" w:space="0" w:color="auto"/>
            </w:tcBorders>
            <w:vAlign w:val="center"/>
            <w:hideMark/>
          </w:tcPr>
          <w:p w14:paraId="3CE4B98E" w14:textId="77777777" w:rsidR="00DF57E8" w:rsidRDefault="00DF57E8">
            <w:pPr>
              <w:rPr>
                <w:rFonts w:ascii="Calibri" w:hAnsi="Calibri" w:cs="Calibri"/>
                <w:b/>
                <w:bCs/>
                <w:color w:val="000000"/>
                <w:sz w:val="22"/>
                <w:szCs w:val="22"/>
              </w:rPr>
            </w:pPr>
          </w:p>
        </w:tc>
        <w:tc>
          <w:tcPr>
            <w:tcW w:w="3601" w:type="dxa"/>
            <w:tcBorders>
              <w:top w:val="nil"/>
              <w:left w:val="nil"/>
              <w:bottom w:val="nil"/>
              <w:right w:val="single" w:sz="4" w:space="0" w:color="auto"/>
            </w:tcBorders>
            <w:shd w:val="clear" w:color="auto" w:fill="auto"/>
            <w:noWrap/>
            <w:vAlign w:val="bottom"/>
            <w:hideMark/>
          </w:tcPr>
          <w:p w14:paraId="2DAF5E38" w14:textId="77777777" w:rsidR="00DF57E8" w:rsidRDefault="00DF57E8">
            <w:pPr>
              <w:rPr>
                <w:rFonts w:ascii="Calibri" w:hAnsi="Calibri" w:cs="Calibri"/>
                <w:color w:val="000000"/>
                <w:sz w:val="22"/>
                <w:szCs w:val="22"/>
              </w:rPr>
            </w:pPr>
            <w:r>
              <w:rPr>
                <w:rFonts w:ascii="Calibri" w:hAnsi="Calibri" w:cs="Calibri"/>
                <w:color w:val="000000"/>
                <w:sz w:val="22"/>
                <w:szCs w:val="22"/>
              </w:rPr>
              <w:t>Efficiency, PV &amp; Battery</w:t>
            </w:r>
          </w:p>
        </w:tc>
        <w:tc>
          <w:tcPr>
            <w:tcW w:w="1377" w:type="dxa"/>
            <w:tcBorders>
              <w:top w:val="nil"/>
              <w:left w:val="nil"/>
              <w:bottom w:val="nil"/>
              <w:right w:val="single" w:sz="4" w:space="0" w:color="auto"/>
            </w:tcBorders>
            <w:shd w:val="clear" w:color="auto" w:fill="auto"/>
            <w:noWrap/>
            <w:vAlign w:val="bottom"/>
            <w:hideMark/>
          </w:tcPr>
          <w:p w14:paraId="3BBE57D2" w14:textId="480584AB" w:rsidR="00DF57E8" w:rsidRDefault="00DF57E8" w:rsidP="0036476D">
            <w:pPr>
              <w:jc w:val="right"/>
              <w:rPr>
                <w:rFonts w:ascii="Calibri" w:hAnsi="Calibri" w:cs="Calibri"/>
                <w:color w:val="000000"/>
                <w:sz w:val="22"/>
                <w:szCs w:val="22"/>
              </w:rPr>
            </w:pPr>
            <w:r>
              <w:rPr>
                <w:rFonts w:ascii="Calibri" w:hAnsi="Calibri" w:cs="Calibri"/>
                <w:color w:val="000000"/>
                <w:sz w:val="22"/>
                <w:szCs w:val="22"/>
              </w:rPr>
              <w:t>13</w:t>
            </w:r>
            <w:r w:rsidR="00C24C8C">
              <w:rPr>
                <w:rFonts w:ascii="Calibri" w:hAnsi="Calibri" w:cs="Calibri"/>
                <w:color w:val="000000"/>
                <w:sz w:val="22"/>
                <w:szCs w:val="22"/>
              </w:rPr>
              <w:t>.</w:t>
            </w:r>
            <w:r w:rsidR="00C4079F">
              <w:rPr>
                <w:rFonts w:ascii="Calibri" w:hAnsi="Calibri" w:cs="Calibri"/>
                <w:color w:val="000000"/>
                <w:sz w:val="22"/>
                <w:szCs w:val="22"/>
              </w:rPr>
              <w:t>1</w:t>
            </w:r>
          </w:p>
        </w:tc>
        <w:tc>
          <w:tcPr>
            <w:tcW w:w="1578" w:type="dxa"/>
            <w:tcBorders>
              <w:top w:val="nil"/>
              <w:left w:val="nil"/>
              <w:bottom w:val="nil"/>
              <w:right w:val="single" w:sz="4" w:space="0" w:color="auto"/>
            </w:tcBorders>
            <w:shd w:val="clear" w:color="auto" w:fill="auto"/>
            <w:noWrap/>
            <w:vAlign w:val="bottom"/>
            <w:hideMark/>
          </w:tcPr>
          <w:p w14:paraId="103BE617" w14:textId="138E9ACF" w:rsidR="00DF57E8" w:rsidRDefault="00DF57E8" w:rsidP="00411638">
            <w:pPr>
              <w:jc w:val="right"/>
              <w:rPr>
                <w:rFonts w:ascii="Calibri" w:hAnsi="Calibri" w:cs="Calibri"/>
                <w:color w:val="000000"/>
                <w:sz w:val="22"/>
                <w:szCs w:val="22"/>
              </w:rPr>
            </w:pPr>
            <w:r>
              <w:rPr>
                <w:rFonts w:ascii="Calibri" w:hAnsi="Calibri" w:cs="Calibri"/>
                <w:color w:val="000000"/>
                <w:sz w:val="22"/>
                <w:szCs w:val="22"/>
              </w:rPr>
              <w:t>$9,485</w:t>
            </w:r>
          </w:p>
        </w:tc>
        <w:tc>
          <w:tcPr>
            <w:tcW w:w="1530" w:type="dxa"/>
            <w:tcBorders>
              <w:top w:val="nil"/>
              <w:left w:val="nil"/>
              <w:bottom w:val="nil"/>
              <w:right w:val="single" w:sz="4" w:space="0" w:color="auto"/>
            </w:tcBorders>
            <w:shd w:val="clear" w:color="auto" w:fill="auto"/>
            <w:noWrap/>
            <w:vAlign w:val="bottom"/>
            <w:hideMark/>
          </w:tcPr>
          <w:p w14:paraId="64F6A8D1" w14:textId="77777777" w:rsidR="00DF57E8" w:rsidRDefault="00DF57E8" w:rsidP="00411638">
            <w:pPr>
              <w:jc w:val="right"/>
              <w:rPr>
                <w:rFonts w:ascii="Calibri" w:hAnsi="Calibri" w:cs="Calibri"/>
                <w:color w:val="000000"/>
                <w:sz w:val="22"/>
                <w:szCs w:val="22"/>
              </w:rPr>
            </w:pPr>
            <w:r>
              <w:rPr>
                <w:rFonts w:ascii="Calibri" w:hAnsi="Calibri" w:cs="Calibri"/>
                <w:color w:val="000000"/>
                <w:sz w:val="22"/>
                <w:szCs w:val="22"/>
              </w:rPr>
              <w:t>30%</w:t>
            </w:r>
          </w:p>
        </w:tc>
      </w:tr>
      <w:tr w:rsidR="00DF57E8" w14:paraId="312B5D2F" w14:textId="77777777" w:rsidTr="006E07AE">
        <w:trPr>
          <w:trHeight w:val="300"/>
        </w:trPr>
        <w:tc>
          <w:tcPr>
            <w:tcW w:w="1359" w:type="dxa"/>
            <w:vMerge w:val="restart"/>
            <w:tcBorders>
              <w:top w:val="double" w:sz="6" w:space="0" w:color="auto"/>
              <w:left w:val="single" w:sz="4" w:space="0" w:color="auto"/>
              <w:bottom w:val="single" w:sz="4" w:space="0" w:color="000000"/>
              <w:right w:val="single" w:sz="4" w:space="0" w:color="auto"/>
            </w:tcBorders>
            <w:shd w:val="clear" w:color="auto" w:fill="auto"/>
            <w:vAlign w:val="center"/>
            <w:hideMark/>
          </w:tcPr>
          <w:p w14:paraId="40C8322F" w14:textId="77777777" w:rsidR="00DF57E8" w:rsidRDefault="00DF57E8">
            <w:pPr>
              <w:rPr>
                <w:rFonts w:ascii="Calibri" w:hAnsi="Calibri" w:cs="Calibri"/>
                <w:b/>
                <w:bCs/>
                <w:color w:val="000000"/>
                <w:sz w:val="22"/>
                <w:szCs w:val="22"/>
              </w:rPr>
            </w:pPr>
            <w:r>
              <w:rPr>
                <w:rFonts w:ascii="Calibri" w:hAnsi="Calibri" w:cs="Calibri"/>
                <w:b/>
                <w:bCs/>
                <w:color w:val="000000"/>
                <w:sz w:val="22"/>
                <w:szCs w:val="22"/>
              </w:rPr>
              <w:t>All-Electric</w:t>
            </w:r>
          </w:p>
        </w:tc>
        <w:tc>
          <w:tcPr>
            <w:tcW w:w="3601" w:type="dxa"/>
            <w:tcBorders>
              <w:top w:val="double" w:sz="6" w:space="0" w:color="auto"/>
              <w:left w:val="nil"/>
              <w:bottom w:val="single" w:sz="4" w:space="0" w:color="auto"/>
              <w:right w:val="single" w:sz="4" w:space="0" w:color="auto"/>
            </w:tcBorders>
            <w:shd w:val="clear" w:color="auto" w:fill="auto"/>
            <w:noWrap/>
            <w:vAlign w:val="bottom"/>
            <w:hideMark/>
          </w:tcPr>
          <w:p w14:paraId="5B3A18F4" w14:textId="77777777" w:rsidR="00DF57E8" w:rsidRDefault="00DF57E8">
            <w:pPr>
              <w:rPr>
                <w:rFonts w:ascii="Calibri" w:hAnsi="Calibri" w:cs="Calibri"/>
                <w:color w:val="000000"/>
                <w:sz w:val="22"/>
                <w:szCs w:val="22"/>
              </w:rPr>
            </w:pPr>
            <w:r>
              <w:rPr>
                <w:rFonts w:ascii="Calibri" w:hAnsi="Calibri" w:cs="Calibri"/>
                <w:color w:val="000000"/>
                <w:sz w:val="22"/>
                <w:szCs w:val="22"/>
              </w:rPr>
              <w:t>Prescriptive Efficiency</w:t>
            </w:r>
          </w:p>
        </w:tc>
        <w:tc>
          <w:tcPr>
            <w:tcW w:w="1377" w:type="dxa"/>
            <w:tcBorders>
              <w:top w:val="double" w:sz="6" w:space="0" w:color="auto"/>
              <w:left w:val="nil"/>
              <w:bottom w:val="single" w:sz="4" w:space="0" w:color="auto"/>
              <w:right w:val="single" w:sz="4" w:space="0" w:color="auto"/>
            </w:tcBorders>
            <w:shd w:val="clear" w:color="auto" w:fill="auto"/>
            <w:noWrap/>
            <w:vAlign w:val="bottom"/>
            <w:hideMark/>
          </w:tcPr>
          <w:p w14:paraId="5EDC2759" w14:textId="69DF1A94" w:rsidR="00DF57E8" w:rsidRDefault="00DF57E8" w:rsidP="0036476D">
            <w:pPr>
              <w:jc w:val="right"/>
              <w:rPr>
                <w:rFonts w:ascii="Calibri" w:hAnsi="Calibri" w:cs="Calibri"/>
                <w:color w:val="000000"/>
                <w:sz w:val="22"/>
                <w:szCs w:val="22"/>
              </w:rPr>
            </w:pPr>
            <w:r>
              <w:rPr>
                <w:rFonts w:ascii="Calibri" w:hAnsi="Calibri" w:cs="Calibri"/>
                <w:color w:val="000000"/>
                <w:sz w:val="22"/>
                <w:szCs w:val="22"/>
              </w:rPr>
              <w:t>11</w:t>
            </w:r>
            <w:r w:rsidR="00ED45FD">
              <w:rPr>
                <w:rFonts w:ascii="Calibri" w:hAnsi="Calibri" w:cs="Calibri"/>
                <w:color w:val="000000"/>
                <w:sz w:val="22"/>
                <w:szCs w:val="22"/>
              </w:rPr>
              <w:t>.</w:t>
            </w:r>
            <w:r w:rsidR="00C4079F">
              <w:rPr>
                <w:rFonts w:ascii="Calibri" w:hAnsi="Calibri" w:cs="Calibri"/>
                <w:color w:val="000000"/>
                <w:sz w:val="22"/>
                <w:szCs w:val="22"/>
              </w:rPr>
              <w:t>4</w:t>
            </w:r>
          </w:p>
        </w:tc>
        <w:tc>
          <w:tcPr>
            <w:tcW w:w="1578" w:type="dxa"/>
            <w:tcBorders>
              <w:top w:val="double" w:sz="6" w:space="0" w:color="auto"/>
              <w:left w:val="nil"/>
              <w:bottom w:val="single" w:sz="4" w:space="0" w:color="auto"/>
              <w:right w:val="single" w:sz="4" w:space="0" w:color="auto"/>
            </w:tcBorders>
            <w:shd w:val="clear" w:color="auto" w:fill="auto"/>
            <w:noWrap/>
            <w:vAlign w:val="bottom"/>
            <w:hideMark/>
          </w:tcPr>
          <w:p w14:paraId="3EDE71F3" w14:textId="60D5A953" w:rsidR="00DF57E8" w:rsidRDefault="003E0B10" w:rsidP="00411638">
            <w:pPr>
              <w:jc w:val="right"/>
              <w:rPr>
                <w:rFonts w:ascii="Calibri" w:hAnsi="Calibri" w:cs="Calibri"/>
                <w:color w:val="000000"/>
                <w:sz w:val="22"/>
                <w:szCs w:val="22"/>
              </w:rPr>
            </w:pPr>
            <w:r>
              <w:rPr>
                <w:rFonts w:ascii="Calibri" w:hAnsi="Calibri" w:cs="Calibri"/>
                <w:color w:val="000000"/>
                <w:sz w:val="22"/>
                <w:szCs w:val="22"/>
              </w:rPr>
              <w:t>$</w:t>
            </w:r>
            <w:r w:rsidR="00DF57E8">
              <w:rPr>
                <w:rFonts w:ascii="Calibri" w:hAnsi="Calibri" w:cs="Calibri"/>
                <w:color w:val="000000"/>
                <w:sz w:val="22"/>
                <w:szCs w:val="22"/>
              </w:rPr>
              <w:t>(7,065)</w:t>
            </w:r>
          </w:p>
        </w:tc>
        <w:tc>
          <w:tcPr>
            <w:tcW w:w="1530" w:type="dxa"/>
            <w:tcBorders>
              <w:top w:val="double" w:sz="6" w:space="0" w:color="auto"/>
              <w:left w:val="nil"/>
              <w:bottom w:val="single" w:sz="4" w:space="0" w:color="auto"/>
              <w:right w:val="single" w:sz="4" w:space="0" w:color="auto"/>
            </w:tcBorders>
            <w:shd w:val="clear" w:color="auto" w:fill="auto"/>
            <w:noWrap/>
            <w:vAlign w:val="bottom"/>
            <w:hideMark/>
          </w:tcPr>
          <w:p w14:paraId="76C65157" w14:textId="77777777" w:rsidR="00DF57E8" w:rsidRDefault="00DF57E8" w:rsidP="00411638">
            <w:pPr>
              <w:jc w:val="right"/>
              <w:rPr>
                <w:rFonts w:ascii="Calibri" w:hAnsi="Calibri" w:cs="Calibri"/>
                <w:color w:val="000000"/>
                <w:sz w:val="22"/>
                <w:szCs w:val="22"/>
              </w:rPr>
            </w:pPr>
            <w:r>
              <w:rPr>
                <w:rFonts w:ascii="Calibri" w:hAnsi="Calibri" w:cs="Calibri"/>
                <w:color w:val="000000"/>
                <w:sz w:val="22"/>
                <w:szCs w:val="22"/>
              </w:rPr>
              <w:t>36%</w:t>
            </w:r>
          </w:p>
        </w:tc>
      </w:tr>
      <w:tr w:rsidR="00DF57E8" w14:paraId="51D2608B" w14:textId="77777777" w:rsidTr="006E07AE">
        <w:trPr>
          <w:trHeight w:val="300"/>
        </w:trPr>
        <w:tc>
          <w:tcPr>
            <w:tcW w:w="1359" w:type="dxa"/>
            <w:vMerge/>
            <w:tcBorders>
              <w:top w:val="double" w:sz="6" w:space="0" w:color="auto"/>
              <w:left w:val="single" w:sz="4" w:space="0" w:color="auto"/>
              <w:bottom w:val="single" w:sz="4" w:space="0" w:color="000000"/>
              <w:right w:val="single" w:sz="4" w:space="0" w:color="auto"/>
            </w:tcBorders>
            <w:vAlign w:val="center"/>
            <w:hideMark/>
          </w:tcPr>
          <w:p w14:paraId="67A2A12C" w14:textId="77777777" w:rsidR="00DF57E8" w:rsidRDefault="00DF57E8">
            <w:pPr>
              <w:rPr>
                <w:rFonts w:ascii="Calibri" w:hAnsi="Calibri" w:cs="Calibri"/>
                <w:b/>
                <w:bCs/>
                <w:color w:val="000000"/>
                <w:sz w:val="22"/>
                <w:szCs w:val="22"/>
              </w:rPr>
            </w:pPr>
          </w:p>
        </w:tc>
        <w:tc>
          <w:tcPr>
            <w:tcW w:w="3601" w:type="dxa"/>
            <w:tcBorders>
              <w:top w:val="nil"/>
              <w:left w:val="nil"/>
              <w:bottom w:val="single" w:sz="4" w:space="0" w:color="auto"/>
              <w:right w:val="single" w:sz="4" w:space="0" w:color="auto"/>
            </w:tcBorders>
            <w:shd w:val="clear" w:color="auto" w:fill="auto"/>
            <w:noWrap/>
            <w:vAlign w:val="bottom"/>
            <w:hideMark/>
          </w:tcPr>
          <w:p w14:paraId="650E11AA" w14:textId="77777777" w:rsidR="00DF57E8" w:rsidRDefault="00DF57E8">
            <w:pPr>
              <w:rPr>
                <w:rFonts w:ascii="Calibri" w:hAnsi="Calibri" w:cs="Calibri"/>
                <w:color w:val="000000"/>
                <w:sz w:val="22"/>
                <w:szCs w:val="22"/>
              </w:rPr>
            </w:pPr>
            <w:r>
              <w:rPr>
                <w:rFonts w:ascii="Calibri" w:hAnsi="Calibri" w:cs="Calibri"/>
                <w:color w:val="000000"/>
                <w:sz w:val="22"/>
                <w:szCs w:val="22"/>
              </w:rPr>
              <w:t>Efficiency, PV &amp; Battery</w:t>
            </w:r>
          </w:p>
        </w:tc>
        <w:tc>
          <w:tcPr>
            <w:tcW w:w="1377" w:type="dxa"/>
            <w:tcBorders>
              <w:top w:val="nil"/>
              <w:left w:val="nil"/>
              <w:bottom w:val="single" w:sz="4" w:space="0" w:color="auto"/>
              <w:right w:val="single" w:sz="4" w:space="0" w:color="auto"/>
            </w:tcBorders>
            <w:shd w:val="clear" w:color="auto" w:fill="auto"/>
            <w:noWrap/>
            <w:vAlign w:val="bottom"/>
            <w:hideMark/>
          </w:tcPr>
          <w:p w14:paraId="67C88A30" w14:textId="097379F1" w:rsidR="00DF57E8" w:rsidRDefault="00DF57E8" w:rsidP="0036476D">
            <w:pPr>
              <w:jc w:val="right"/>
              <w:rPr>
                <w:rFonts w:ascii="Calibri" w:hAnsi="Calibri" w:cs="Calibri"/>
                <w:color w:val="000000"/>
                <w:sz w:val="22"/>
                <w:szCs w:val="22"/>
              </w:rPr>
            </w:pPr>
            <w:r>
              <w:rPr>
                <w:rFonts w:ascii="Calibri" w:hAnsi="Calibri" w:cs="Calibri"/>
                <w:color w:val="000000"/>
                <w:sz w:val="22"/>
                <w:szCs w:val="22"/>
              </w:rPr>
              <w:t>25</w:t>
            </w:r>
            <w:r w:rsidR="00ED45FD">
              <w:rPr>
                <w:rFonts w:ascii="Calibri" w:hAnsi="Calibri" w:cs="Calibri"/>
                <w:color w:val="000000"/>
                <w:sz w:val="22"/>
                <w:szCs w:val="22"/>
              </w:rPr>
              <w:t>.</w:t>
            </w:r>
            <w:r w:rsidR="00A01C7E">
              <w:rPr>
                <w:rFonts w:ascii="Calibri" w:hAnsi="Calibri" w:cs="Calibri"/>
                <w:color w:val="000000"/>
                <w:sz w:val="22"/>
                <w:szCs w:val="22"/>
              </w:rPr>
              <w:t>1</w:t>
            </w:r>
          </w:p>
        </w:tc>
        <w:tc>
          <w:tcPr>
            <w:tcW w:w="1578" w:type="dxa"/>
            <w:tcBorders>
              <w:top w:val="nil"/>
              <w:left w:val="nil"/>
              <w:bottom w:val="single" w:sz="4" w:space="0" w:color="auto"/>
              <w:right w:val="single" w:sz="4" w:space="0" w:color="auto"/>
            </w:tcBorders>
            <w:shd w:val="clear" w:color="auto" w:fill="auto"/>
            <w:noWrap/>
            <w:vAlign w:val="bottom"/>
            <w:hideMark/>
          </w:tcPr>
          <w:p w14:paraId="136A2EB4" w14:textId="13B8D5AD" w:rsidR="00DF57E8" w:rsidRDefault="00DF57E8" w:rsidP="00411638">
            <w:pPr>
              <w:jc w:val="right"/>
              <w:rPr>
                <w:rFonts w:ascii="Calibri" w:hAnsi="Calibri" w:cs="Calibri"/>
                <w:color w:val="000000"/>
                <w:sz w:val="22"/>
                <w:szCs w:val="22"/>
              </w:rPr>
            </w:pPr>
            <w:r>
              <w:rPr>
                <w:rFonts w:ascii="Calibri" w:hAnsi="Calibri" w:cs="Calibri"/>
                <w:color w:val="000000"/>
                <w:sz w:val="22"/>
                <w:szCs w:val="22"/>
              </w:rPr>
              <w:t>$7,396</w:t>
            </w:r>
          </w:p>
        </w:tc>
        <w:tc>
          <w:tcPr>
            <w:tcW w:w="1530" w:type="dxa"/>
            <w:tcBorders>
              <w:top w:val="nil"/>
              <w:left w:val="nil"/>
              <w:bottom w:val="single" w:sz="4" w:space="0" w:color="auto"/>
              <w:right w:val="single" w:sz="4" w:space="0" w:color="auto"/>
            </w:tcBorders>
            <w:shd w:val="clear" w:color="auto" w:fill="auto"/>
            <w:noWrap/>
            <w:vAlign w:val="bottom"/>
            <w:hideMark/>
          </w:tcPr>
          <w:p w14:paraId="6B8E6C01" w14:textId="77777777" w:rsidR="00DF57E8" w:rsidRDefault="00DF57E8" w:rsidP="00411638">
            <w:pPr>
              <w:jc w:val="right"/>
              <w:rPr>
                <w:rFonts w:ascii="Calibri" w:hAnsi="Calibri" w:cs="Calibri"/>
                <w:color w:val="000000"/>
                <w:sz w:val="22"/>
                <w:szCs w:val="22"/>
              </w:rPr>
            </w:pPr>
            <w:r>
              <w:rPr>
                <w:rFonts w:ascii="Calibri" w:hAnsi="Calibri" w:cs="Calibri"/>
                <w:color w:val="000000"/>
                <w:sz w:val="22"/>
                <w:szCs w:val="22"/>
              </w:rPr>
              <w:t>67%</w:t>
            </w:r>
          </w:p>
        </w:tc>
      </w:tr>
      <w:tr w:rsidR="00DF57E8" w14:paraId="4A48A2C5" w14:textId="77777777" w:rsidTr="006E07AE">
        <w:trPr>
          <w:trHeight w:val="300"/>
        </w:trPr>
        <w:tc>
          <w:tcPr>
            <w:tcW w:w="4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CE89D8" w14:textId="042813B0" w:rsidR="00DF57E8" w:rsidRDefault="002E31D1">
            <w:pPr>
              <w:rPr>
                <w:rFonts w:ascii="Calibri" w:hAnsi="Calibri" w:cs="Calibri"/>
                <w:b/>
                <w:bCs/>
                <w:color w:val="000000"/>
                <w:sz w:val="22"/>
                <w:szCs w:val="22"/>
              </w:rPr>
            </w:pPr>
            <w:r>
              <w:rPr>
                <w:rFonts w:ascii="Calibri" w:hAnsi="Calibri" w:cs="Calibri"/>
                <w:b/>
                <w:bCs/>
                <w:color w:val="000000"/>
                <w:sz w:val="22"/>
                <w:szCs w:val="22"/>
              </w:rPr>
              <w:t>Margin Maximum</w:t>
            </w:r>
          </w:p>
        </w:tc>
        <w:tc>
          <w:tcPr>
            <w:tcW w:w="1377" w:type="dxa"/>
            <w:tcBorders>
              <w:top w:val="nil"/>
              <w:left w:val="nil"/>
              <w:bottom w:val="single" w:sz="4" w:space="0" w:color="auto"/>
              <w:right w:val="single" w:sz="4" w:space="0" w:color="auto"/>
            </w:tcBorders>
            <w:shd w:val="clear" w:color="auto" w:fill="auto"/>
            <w:noWrap/>
            <w:vAlign w:val="bottom"/>
            <w:hideMark/>
          </w:tcPr>
          <w:p w14:paraId="248AD2AD" w14:textId="1F6DCD7D" w:rsidR="00DF57E8" w:rsidRDefault="00DF57E8" w:rsidP="0036476D">
            <w:pPr>
              <w:jc w:val="right"/>
              <w:rPr>
                <w:rFonts w:ascii="Calibri" w:hAnsi="Calibri" w:cs="Calibri"/>
                <w:b/>
                <w:bCs/>
                <w:color w:val="000000"/>
                <w:sz w:val="22"/>
                <w:szCs w:val="22"/>
              </w:rPr>
            </w:pPr>
            <w:r>
              <w:rPr>
                <w:rFonts w:ascii="Calibri" w:hAnsi="Calibri" w:cs="Calibri"/>
                <w:b/>
                <w:bCs/>
                <w:color w:val="000000"/>
                <w:sz w:val="22"/>
                <w:szCs w:val="22"/>
              </w:rPr>
              <w:t>1</w:t>
            </w:r>
            <w:r w:rsidR="002E31D1">
              <w:rPr>
                <w:rFonts w:ascii="Calibri" w:hAnsi="Calibri" w:cs="Calibri"/>
                <w:b/>
                <w:bCs/>
                <w:color w:val="000000"/>
                <w:sz w:val="22"/>
                <w:szCs w:val="22"/>
              </w:rPr>
              <w:t>3</w:t>
            </w:r>
            <w:r w:rsidR="00ED45FD">
              <w:rPr>
                <w:rFonts w:ascii="Calibri" w:hAnsi="Calibri" w:cs="Calibri"/>
                <w:b/>
                <w:bCs/>
                <w:color w:val="000000"/>
                <w:sz w:val="22"/>
                <w:szCs w:val="22"/>
              </w:rPr>
              <w:t>.</w:t>
            </w:r>
            <w:r w:rsidR="00A01C7E">
              <w:rPr>
                <w:rFonts w:ascii="Calibri" w:hAnsi="Calibri" w:cs="Calibri"/>
                <w:b/>
                <w:bCs/>
                <w:color w:val="000000"/>
                <w:sz w:val="22"/>
                <w:szCs w:val="22"/>
              </w:rPr>
              <w:t>1</w:t>
            </w:r>
          </w:p>
        </w:tc>
        <w:tc>
          <w:tcPr>
            <w:tcW w:w="1578" w:type="dxa"/>
            <w:tcBorders>
              <w:top w:val="nil"/>
              <w:left w:val="nil"/>
              <w:bottom w:val="nil"/>
              <w:right w:val="nil"/>
            </w:tcBorders>
            <w:shd w:val="clear" w:color="auto" w:fill="auto"/>
            <w:noWrap/>
            <w:vAlign w:val="bottom"/>
            <w:hideMark/>
          </w:tcPr>
          <w:p w14:paraId="7CC0FAF4" w14:textId="77777777" w:rsidR="00DF57E8" w:rsidRDefault="00DF57E8" w:rsidP="0036476D">
            <w:pPr>
              <w:jc w:val="right"/>
              <w:rPr>
                <w:rFonts w:ascii="Calibri" w:hAnsi="Calibri" w:cs="Calibri"/>
                <w:b/>
                <w:bCs/>
                <w:color w:val="000000"/>
                <w:sz w:val="22"/>
                <w:szCs w:val="22"/>
              </w:rPr>
            </w:pPr>
          </w:p>
        </w:tc>
        <w:tc>
          <w:tcPr>
            <w:tcW w:w="1530" w:type="dxa"/>
            <w:tcBorders>
              <w:top w:val="nil"/>
              <w:left w:val="nil"/>
              <w:bottom w:val="nil"/>
              <w:right w:val="nil"/>
            </w:tcBorders>
            <w:shd w:val="clear" w:color="auto" w:fill="auto"/>
            <w:noWrap/>
            <w:vAlign w:val="bottom"/>
            <w:hideMark/>
          </w:tcPr>
          <w:p w14:paraId="1268671E" w14:textId="77777777" w:rsidR="00DF57E8" w:rsidRDefault="00DF57E8" w:rsidP="00411638">
            <w:pPr>
              <w:jc w:val="right"/>
              <w:rPr>
                <w:sz w:val="20"/>
                <w:szCs w:val="20"/>
              </w:rPr>
            </w:pPr>
          </w:p>
        </w:tc>
      </w:tr>
      <w:tr w:rsidR="00DF57E8" w14:paraId="2A2AF825" w14:textId="77777777" w:rsidTr="006E07AE">
        <w:trPr>
          <w:trHeight w:val="300"/>
        </w:trPr>
        <w:tc>
          <w:tcPr>
            <w:tcW w:w="49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99343C" w14:textId="10C2D8F7" w:rsidR="00DF57E8" w:rsidRDefault="002E31D1">
            <w:pPr>
              <w:rPr>
                <w:rFonts w:ascii="Calibri" w:hAnsi="Calibri" w:cs="Calibri"/>
                <w:b/>
                <w:bCs/>
                <w:color w:val="000000"/>
                <w:sz w:val="22"/>
                <w:szCs w:val="22"/>
              </w:rPr>
            </w:pPr>
            <w:r>
              <w:rPr>
                <w:rFonts w:ascii="Calibri" w:hAnsi="Calibri" w:cs="Calibri"/>
                <w:b/>
                <w:bCs/>
                <w:color w:val="000000"/>
                <w:sz w:val="22"/>
                <w:szCs w:val="22"/>
              </w:rPr>
              <w:t>Reasonable Margin</w:t>
            </w:r>
          </w:p>
        </w:tc>
        <w:tc>
          <w:tcPr>
            <w:tcW w:w="1377" w:type="dxa"/>
            <w:tcBorders>
              <w:top w:val="nil"/>
              <w:left w:val="nil"/>
              <w:bottom w:val="single" w:sz="4" w:space="0" w:color="auto"/>
              <w:right w:val="single" w:sz="4" w:space="0" w:color="auto"/>
            </w:tcBorders>
            <w:shd w:val="clear" w:color="auto" w:fill="auto"/>
            <w:noWrap/>
            <w:vAlign w:val="bottom"/>
            <w:hideMark/>
          </w:tcPr>
          <w:p w14:paraId="1375C561" w14:textId="0258063B" w:rsidR="00DF57E8" w:rsidRDefault="00DF57E8" w:rsidP="0036476D">
            <w:pPr>
              <w:jc w:val="right"/>
              <w:rPr>
                <w:rFonts w:ascii="Calibri" w:hAnsi="Calibri" w:cs="Calibri"/>
                <w:b/>
                <w:bCs/>
                <w:color w:val="000000"/>
                <w:sz w:val="22"/>
                <w:szCs w:val="22"/>
              </w:rPr>
            </w:pPr>
            <w:r>
              <w:rPr>
                <w:rFonts w:ascii="Calibri" w:hAnsi="Calibri" w:cs="Calibri"/>
                <w:b/>
                <w:bCs/>
                <w:color w:val="000000"/>
                <w:sz w:val="22"/>
                <w:szCs w:val="22"/>
              </w:rPr>
              <w:t>1</w:t>
            </w:r>
            <w:r w:rsidR="002E31D1">
              <w:rPr>
                <w:rFonts w:ascii="Calibri" w:hAnsi="Calibri" w:cs="Calibri"/>
                <w:b/>
                <w:bCs/>
                <w:color w:val="000000"/>
                <w:sz w:val="22"/>
                <w:szCs w:val="22"/>
              </w:rPr>
              <w:t>1</w:t>
            </w:r>
            <w:r w:rsidR="00ED45FD">
              <w:rPr>
                <w:rFonts w:ascii="Calibri" w:hAnsi="Calibri" w:cs="Calibri"/>
                <w:b/>
                <w:bCs/>
                <w:color w:val="000000"/>
                <w:sz w:val="22"/>
                <w:szCs w:val="22"/>
              </w:rPr>
              <w:t>.0</w:t>
            </w:r>
          </w:p>
        </w:tc>
        <w:tc>
          <w:tcPr>
            <w:tcW w:w="1578" w:type="dxa"/>
            <w:tcBorders>
              <w:top w:val="nil"/>
              <w:left w:val="nil"/>
              <w:bottom w:val="nil"/>
              <w:right w:val="nil"/>
            </w:tcBorders>
            <w:shd w:val="clear" w:color="auto" w:fill="auto"/>
            <w:noWrap/>
            <w:vAlign w:val="bottom"/>
            <w:hideMark/>
          </w:tcPr>
          <w:p w14:paraId="2821DD13" w14:textId="77777777" w:rsidR="00DF57E8" w:rsidRDefault="00DF57E8" w:rsidP="0036476D">
            <w:pPr>
              <w:jc w:val="right"/>
              <w:rPr>
                <w:rFonts w:ascii="Calibri" w:hAnsi="Calibri" w:cs="Calibri"/>
                <w:b/>
                <w:bCs/>
                <w:color w:val="000000"/>
                <w:sz w:val="22"/>
                <w:szCs w:val="22"/>
              </w:rPr>
            </w:pPr>
          </w:p>
        </w:tc>
        <w:tc>
          <w:tcPr>
            <w:tcW w:w="1530" w:type="dxa"/>
            <w:tcBorders>
              <w:top w:val="nil"/>
              <w:left w:val="nil"/>
              <w:bottom w:val="nil"/>
              <w:right w:val="nil"/>
            </w:tcBorders>
            <w:shd w:val="clear" w:color="auto" w:fill="auto"/>
            <w:noWrap/>
            <w:vAlign w:val="bottom"/>
            <w:hideMark/>
          </w:tcPr>
          <w:p w14:paraId="362AFCA4" w14:textId="77777777" w:rsidR="00DF57E8" w:rsidRDefault="00DF57E8" w:rsidP="00411638">
            <w:pPr>
              <w:keepNext/>
              <w:jc w:val="right"/>
              <w:rPr>
                <w:sz w:val="20"/>
                <w:szCs w:val="20"/>
              </w:rPr>
            </w:pPr>
          </w:p>
        </w:tc>
      </w:tr>
    </w:tbl>
    <w:p w14:paraId="2E10B240" w14:textId="7FD53283" w:rsidR="002D3168" w:rsidRPr="00CC493C" w:rsidRDefault="003A6792" w:rsidP="00AA3ED7">
      <w:pPr>
        <w:pStyle w:val="Caption"/>
        <w:rPr>
          <w:rFonts w:asciiTheme="minorHAnsi" w:hAnsiTheme="minorHAnsi" w:cstheme="minorHAnsi"/>
          <w:sz w:val="22"/>
          <w:szCs w:val="22"/>
        </w:rPr>
      </w:pPr>
      <w:r w:rsidRPr="00CC493C">
        <w:rPr>
          <w:sz w:val="22"/>
          <w:szCs w:val="22"/>
        </w:rPr>
        <w:t xml:space="preserve">Table </w:t>
      </w:r>
      <w:r w:rsidRPr="00CC493C">
        <w:rPr>
          <w:sz w:val="22"/>
          <w:szCs w:val="22"/>
        </w:rPr>
        <w:fldChar w:fldCharType="begin"/>
      </w:r>
      <w:r w:rsidRPr="00CC493C">
        <w:rPr>
          <w:sz w:val="22"/>
          <w:szCs w:val="22"/>
        </w:rPr>
        <w:instrText xml:space="preserve"> SEQ Table \* ARABIC </w:instrText>
      </w:r>
      <w:r w:rsidRPr="00CC493C">
        <w:rPr>
          <w:sz w:val="22"/>
          <w:szCs w:val="22"/>
        </w:rPr>
        <w:fldChar w:fldCharType="separate"/>
      </w:r>
      <w:r w:rsidR="005E7102">
        <w:rPr>
          <w:noProof/>
          <w:sz w:val="22"/>
          <w:szCs w:val="22"/>
        </w:rPr>
        <w:t>1</w:t>
      </w:r>
      <w:r w:rsidRPr="00CC493C">
        <w:rPr>
          <w:sz w:val="22"/>
          <w:szCs w:val="22"/>
        </w:rPr>
        <w:fldChar w:fldCharType="end"/>
      </w:r>
      <w:r w:rsidRPr="00CC493C">
        <w:rPr>
          <w:sz w:val="22"/>
          <w:szCs w:val="22"/>
        </w:rPr>
        <w:t>: An 11</w:t>
      </w:r>
      <w:r w:rsidR="00CC493C">
        <w:rPr>
          <w:sz w:val="22"/>
          <w:szCs w:val="22"/>
        </w:rPr>
        <w:t>-</w:t>
      </w:r>
      <w:r w:rsidRPr="00CC493C">
        <w:rPr>
          <w:sz w:val="22"/>
          <w:szCs w:val="22"/>
        </w:rPr>
        <w:t>point margin is both reasonably achievable and provides strong encouragement to build all electric.</w:t>
      </w:r>
    </w:p>
    <w:p w14:paraId="50EB3E5D" w14:textId="77777777" w:rsidR="00892719" w:rsidRPr="00DA6592" w:rsidRDefault="00892719" w:rsidP="00887E62">
      <w:pPr>
        <w:rPr>
          <w:rFonts w:asciiTheme="minorHAnsi" w:hAnsiTheme="minorHAnsi" w:cstheme="minorHAnsi"/>
        </w:rPr>
      </w:pPr>
    </w:p>
    <w:p w14:paraId="4893E59E" w14:textId="4AB56AB1" w:rsidR="006636AB" w:rsidRPr="00DA6592" w:rsidRDefault="00563CA5" w:rsidP="00887E62">
      <w:pPr>
        <w:rPr>
          <w:rFonts w:asciiTheme="minorHAnsi" w:hAnsiTheme="minorHAnsi" w:cstheme="minorBidi"/>
        </w:rPr>
      </w:pPr>
      <w:r w:rsidRPr="71C66AFE">
        <w:rPr>
          <w:rFonts w:asciiTheme="minorHAnsi" w:hAnsiTheme="minorHAnsi" w:cstheme="minorBidi"/>
        </w:rPr>
        <w:t xml:space="preserve">Figure 1 provides another view of the data. The columns represent the </w:t>
      </w:r>
      <w:r w:rsidR="00C82390" w:rsidRPr="71C66AFE">
        <w:rPr>
          <w:rFonts w:asciiTheme="minorHAnsi" w:hAnsiTheme="minorHAnsi" w:cstheme="minorBidi"/>
        </w:rPr>
        <w:t>source energy</w:t>
      </w:r>
      <w:r w:rsidRPr="71C66AFE">
        <w:rPr>
          <w:rFonts w:asciiTheme="minorHAnsi" w:hAnsiTheme="minorHAnsi" w:cstheme="minorBidi"/>
        </w:rPr>
        <w:t xml:space="preserve"> margins</w:t>
      </w:r>
      <w:r w:rsidR="00BA4B99" w:rsidRPr="71C66AFE">
        <w:rPr>
          <w:rFonts w:asciiTheme="minorHAnsi" w:hAnsiTheme="minorHAnsi" w:cstheme="minorBidi"/>
        </w:rPr>
        <w:t xml:space="preserve"> (left vertical axis)</w:t>
      </w:r>
      <w:r w:rsidRPr="71C66AFE">
        <w:rPr>
          <w:rFonts w:asciiTheme="minorHAnsi" w:hAnsiTheme="minorHAnsi" w:cstheme="minorBidi"/>
        </w:rPr>
        <w:t xml:space="preserve"> for the </w:t>
      </w:r>
      <w:r w:rsidR="00AD473E" w:rsidRPr="71C66AFE">
        <w:rPr>
          <w:rFonts w:asciiTheme="minorHAnsi" w:hAnsiTheme="minorHAnsi" w:cstheme="minorBidi"/>
        </w:rPr>
        <w:t xml:space="preserve">different </w:t>
      </w:r>
      <w:r w:rsidRPr="71C66AFE">
        <w:rPr>
          <w:rFonts w:asciiTheme="minorHAnsi" w:hAnsiTheme="minorHAnsi" w:cstheme="minorBidi"/>
        </w:rPr>
        <w:t xml:space="preserve">design types, with </w:t>
      </w:r>
      <w:r w:rsidR="009E0EEC" w:rsidRPr="71C66AFE">
        <w:rPr>
          <w:rFonts w:asciiTheme="minorHAnsi" w:hAnsiTheme="minorHAnsi" w:cstheme="minorBidi"/>
        </w:rPr>
        <w:t xml:space="preserve">the </w:t>
      </w:r>
      <w:r w:rsidR="00207B9C" w:rsidRPr="71C66AFE">
        <w:rPr>
          <w:rFonts w:asciiTheme="minorHAnsi" w:hAnsiTheme="minorHAnsi" w:cstheme="minorBidi"/>
        </w:rPr>
        <w:t>Business-As-Usual case</w:t>
      </w:r>
      <w:r w:rsidR="009E0EEC" w:rsidRPr="71C66AFE">
        <w:rPr>
          <w:rFonts w:asciiTheme="minorHAnsi" w:hAnsiTheme="minorHAnsi" w:cstheme="minorBidi"/>
        </w:rPr>
        <w:t xml:space="preserve"> on the left </w:t>
      </w:r>
      <w:r w:rsidR="00207B9C" w:rsidRPr="71C66AFE">
        <w:rPr>
          <w:rFonts w:asciiTheme="minorHAnsi" w:hAnsiTheme="minorHAnsi" w:cstheme="minorBidi"/>
        </w:rPr>
        <w:t>at</w:t>
      </w:r>
      <w:r w:rsidR="00497EAE" w:rsidRPr="71C66AFE">
        <w:rPr>
          <w:rFonts w:asciiTheme="minorHAnsi" w:hAnsiTheme="minorHAnsi" w:cstheme="minorBidi"/>
        </w:rPr>
        <w:t xml:space="preserve"> a margin of zero</w:t>
      </w:r>
      <w:r w:rsidR="006D136A" w:rsidRPr="71C66AFE">
        <w:rPr>
          <w:rFonts w:asciiTheme="minorHAnsi" w:hAnsiTheme="minorHAnsi" w:cstheme="minorBidi"/>
        </w:rPr>
        <w:t xml:space="preserve"> (the sliver in the graph)</w:t>
      </w:r>
      <w:r w:rsidR="00F7189F">
        <w:rPr>
          <w:rFonts w:asciiTheme="minorHAnsi" w:hAnsiTheme="minorHAnsi" w:cstheme="minorBidi"/>
        </w:rPr>
        <w:t xml:space="preserve"> and </w:t>
      </w:r>
      <w:r w:rsidR="00451D0B">
        <w:rPr>
          <w:rFonts w:asciiTheme="minorHAnsi" w:hAnsiTheme="minorHAnsi" w:cstheme="minorBidi"/>
        </w:rPr>
        <w:t>the</w:t>
      </w:r>
      <w:r w:rsidR="00B87A32">
        <w:rPr>
          <w:rFonts w:asciiTheme="minorHAnsi" w:hAnsiTheme="minorHAnsi" w:cstheme="minorBidi"/>
        </w:rPr>
        <w:t xml:space="preserve"> most aggressive</w:t>
      </w:r>
      <w:r w:rsidR="00451D0B">
        <w:rPr>
          <w:rFonts w:asciiTheme="minorHAnsi" w:hAnsiTheme="minorHAnsi" w:cstheme="minorBidi"/>
        </w:rPr>
        <w:t xml:space="preserve"> design type on the right. </w:t>
      </w:r>
      <w:r w:rsidR="00FD6B41">
        <w:rPr>
          <w:rFonts w:asciiTheme="minorHAnsi" w:hAnsiTheme="minorHAnsi" w:cstheme="minorBidi"/>
        </w:rPr>
        <w:t xml:space="preserve">In both cases the </w:t>
      </w:r>
      <w:r w:rsidR="00E96C34" w:rsidRPr="0F60EAFB">
        <w:rPr>
          <w:rFonts w:asciiTheme="minorHAnsi" w:hAnsiTheme="minorHAnsi" w:cstheme="minorBidi"/>
        </w:rPr>
        <w:t xml:space="preserve">all-electric designs </w:t>
      </w:r>
      <w:r w:rsidR="00E96C34" w:rsidRPr="008F427A">
        <w:rPr>
          <w:rFonts w:asciiTheme="minorHAnsi" w:hAnsiTheme="minorHAnsi" w:cstheme="minorBidi"/>
        </w:rPr>
        <w:t xml:space="preserve">outperform </w:t>
      </w:r>
      <w:r w:rsidR="00E96C34">
        <w:rPr>
          <w:rFonts w:asciiTheme="minorHAnsi" w:hAnsiTheme="minorHAnsi" w:cstheme="minorBidi"/>
        </w:rPr>
        <w:t xml:space="preserve">the </w:t>
      </w:r>
      <w:r w:rsidR="00E96C34" w:rsidRPr="71C66AFE">
        <w:rPr>
          <w:rFonts w:asciiTheme="minorHAnsi" w:eastAsiaTheme="minorEastAsia" w:hAnsiTheme="minorHAnsi" w:cstheme="minorBidi"/>
        </w:rPr>
        <w:t>corresponding mixed-fuel designs</w:t>
      </w:r>
      <w:r w:rsidR="00A67EBF" w:rsidRPr="71C66AFE">
        <w:rPr>
          <w:rFonts w:asciiTheme="minorHAnsi" w:hAnsiTheme="minorHAnsi" w:cstheme="minorBidi"/>
        </w:rPr>
        <w:t xml:space="preserve">. </w:t>
      </w:r>
      <w:r w:rsidR="005A7C12" w:rsidRPr="71C66AFE">
        <w:rPr>
          <w:rFonts w:asciiTheme="minorHAnsi" w:hAnsiTheme="minorHAnsi" w:cstheme="minorBidi"/>
        </w:rPr>
        <w:t>The horizontal lines represent a range of possible requirements</w:t>
      </w:r>
      <w:r w:rsidR="00313929" w:rsidRPr="71C66AFE">
        <w:rPr>
          <w:rFonts w:asciiTheme="minorHAnsi" w:hAnsiTheme="minorHAnsi" w:cstheme="minorBidi"/>
        </w:rPr>
        <w:t>. T</w:t>
      </w:r>
      <w:r w:rsidR="005A7C12" w:rsidRPr="71C66AFE">
        <w:rPr>
          <w:rFonts w:asciiTheme="minorHAnsi" w:hAnsiTheme="minorHAnsi" w:cstheme="minorBidi"/>
        </w:rPr>
        <w:t>he top line represents th</w:t>
      </w:r>
      <w:r w:rsidR="008D6426" w:rsidRPr="71C66AFE">
        <w:rPr>
          <w:rFonts w:asciiTheme="minorHAnsi" w:hAnsiTheme="minorHAnsi" w:cstheme="minorBidi"/>
        </w:rPr>
        <w:t xml:space="preserve">e </w:t>
      </w:r>
      <w:r w:rsidR="005A7C12" w:rsidRPr="71C66AFE">
        <w:rPr>
          <w:rFonts w:asciiTheme="minorHAnsi" w:hAnsiTheme="minorHAnsi" w:cstheme="minorBidi"/>
        </w:rPr>
        <w:t>highest margin that can be cost-effectively achieved by both all-</w:t>
      </w:r>
      <w:r w:rsidR="00DC7052" w:rsidRPr="71C66AFE">
        <w:rPr>
          <w:rFonts w:asciiTheme="minorHAnsi" w:hAnsiTheme="minorHAnsi" w:cstheme="minorBidi"/>
        </w:rPr>
        <w:t>electric</w:t>
      </w:r>
      <w:r w:rsidR="005A7C12" w:rsidRPr="71C66AFE">
        <w:rPr>
          <w:rFonts w:asciiTheme="minorHAnsi" w:hAnsiTheme="minorHAnsi" w:cstheme="minorBidi"/>
        </w:rPr>
        <w:t xml:space="preserve"> and mixed</w:t>
      </w:r>
      <w:r w:rsidR="00D62E3B" w:rsidRPr="71C66AFE">
        <w:rPr>
          <w:rFonts w:asciiTheme="minorHAnsi" w:hAnsiTheme="minorHAnsi" w:cstheme="minorBidi"/>
        </w:rPr>
        <w:t>-</w:t>
      </w:r>
      <w:r w:rsidR="005A7C12" w:rsidRPr="71C66AFE">
        <w:rPr>
          <w:rFonts w:asciiTheme="minorHAnsi" w:hAnsiTheme="minorHAnsi" w:cstheme="minorBidi"/>
        </w:rPr>
        <w:t>fuel buildings</w:t>
      </w:r>
      <w:r w:rsidR="001D01EF" w:rsidRPr="71C66AFE">
        <w:rPr>
          <w:rFonts w:asciiTheme="minorHAnsi" w:hAnsiTheme="minorHAnsi" w:cstheme="minorBidi"/>
        </w:rPr>
        <w:t xml:space="preserve">. </w:t>
      </w:r>
      <w:r w:rsidR="00313929" w:rsidRPr="71C66AFE">
        <w:rPr>
          <w:rFonts w:asciiTheme="minorHAnsi" w:hAnsiTheme="minorHAnsi" w:cstheme="minorBidi"/>
        </w:rPr>
        <w:t xml:space="preserve">The lower line </w:t>
      </w:r>
      <w:r w:rsidR="00DC7052" w:rsidRPr="71C66AFE">
        <w:rPr>
          <w:rFonts w:asciiTheme="minorHAnsi" w:hAnsiTheme="minorHAnsi" w:cstheme="minorBidi"/>
        </w:rPr>
        <w:t>represents</w:t>
      </w:r>
      <w:r w:rsidR="00313929" w:rsidRPr="71C66AFE">
        <w:rPr>
          <w:rFonts w:asciiTheme="minorHAnsi" w:hAnsiTheme="minorHAnsi" w:cstheme="minorBidi"/>
        </w:rPr>
        <w:t xml:space="preserve"> the</w:t>
      </w:r>
      <w:r w:rsidR="00A44A33" w:rsidRPr="71C66AFE">
        <w:rPr>
          <w:rFonts w:asciiTheme="minorHAnsi" w:hAnsiTheme="minorHAnsi" w:cstheme="minorBidi"/>
        </w:rPr>
        <w:t xml:space="preserve"> All-Electric Prescriptive Efficiency </w:t>
      </w:r>
      <w:r w:rsidR="001651FC" w:rsidRPr="71C66AFE">
        <w:rPr>
          <w:rFonts w:asciiTheme="minorHAnsi" w:hAnsiTheme="minorHAnsi" w:cstheme="minorBidi"/>
        </w:rPr>
        <w:t xml:space="preserve">design </w:t>
      </w:r>
      <w:r w:rsidR="00313929" w:rsidRPr="71C66AFE">
        <w:rPr>
          <w:rFonts w:asciiTheme="minorHAnsi" w:hAnsiTheme="minorHAnsi" w:cstheme="minorBidi"/>
        </w:rPr>
        <w:t>margin.</w:t>
      </w:r>
      <w:r w:rsidR="00B22B1A" w:rsidRPr="71C66AFE">
        <w:rPr>
          <w:rFonts w:asciiTheme="minorHAnsi" w:hAnsiTheme="minorHAnsi" w:cstheme="minorBidi"/>
        </w:rPr>
        <w:t xml:space="preserve"> The circles represent the </w:t>
      </w:r>
      <w:r w:rsidR="00BA4B99" w:rsidRPr="71C66AFE">
        <w:rPr>
          <w:rFonts w:asciiTheme="minorHAnsi" w:hAnsiTheme="minorHAnsi" w:cstheme="minorBidi"/>
        </w:rPr>
        <w:t xml:space="preserve">incremental </w:t>
      </w:r>
      <w:r w:rsidR="00413360" w:rsidRPr="71C66AFE">
        <w:rPr>
          <w:rFonts w:asciiTheme="minorHAnsi" w:hAnsiTheme="minorHAnsi" w:cstheme="minorBidi"/>
        </w:rPr>
        <w:t xml:space="preserve">first </w:t>
      </w:r>
      <w:r w:rsidR="00BA4B99" w:rsidRPr="71C66AFE">
        <w:rPr>
          <w:rFonts w:asciiTheme="minorHAnsi" w:hAnsiTheme="minorHAnsi" w:cstheme="minorBidi"/>
        </w:rPr>
        <w:t xml:space="preserve">cost (right vertical axis) of the design type. </w:t>
      </w:r>
      <w:r w:rsidR="00797791" w:rsidRPr="71C66AFE">
        <w:rPr>
          <w:rFonts w:asciiTheme="minorHAnsi" w:hAnsiTheme="minorHAnsi" w:cstheme="minorBidi"/>
        </w:rPr>
        <w:t xml:space="preserve">Note, the scale goes below zero, indicating </w:t>
      </w:r>
      <w:bookmarkStart w:id="0" w:name="_Int_AS8771X0"/>
      <w:proofErr w:type="gramStart"/>
      <w:r w:rsidR="00D62E3B" w:rsidRPr="71C66AFE">
        <w:rPr>
          <w:rFonts w:asciiTheme="minorHAnsi" w:hAnsiTheme="minorHAnsi" w:cstheme="minorBidi"/>
        </w:rPr>
        <w:t xml:space="preserve">a </w:t>
      </w:r>
      <w:r w:rsidR="00102179" w:rsidRPr="71C66AFE">
        <w:rPr>
          <w:rFonts w:asciiTheme="minorHAnsi" w:hAnsiTheme="minorHAnsi" w:cstheme="minorBidi"/>
        </w:rPr>
        <w:t>cost</w:t>
      </w:r>
      <w:bookmarkEnd w:id="0"/>
      <w:proofErr w:type="gramEnd"/>
      <w:r w:rsidR="00102179" w:rsidRPr="71C66AFE">
        <w:rPr>
          <w:rFonts w:asciiTheme="minorHAnsi" w:hAnsiTheme="minorHAnsi" w:cstheme="minorBidi"/>
        </w:rPr>
        <w:t xml:space="preserve"> savings for</w:t>
      </w:r>
      <w:r w:rsidR="005F512D" w:rsidRPr="71C66AFE">
        <w:rPr>
          <w:rFonts w:asciiTheme="minorHAnsi" w:hAnsiTheme="minorHAnsi" w:cstheme="minorBidi"/>
        </w:rPr>
        <w:t xml:space="preserve"> some of the all-electric designs. </w:t>
      </w:r>
    </w:p>
    <w:p w14:paraId="3CDA127B" w14:textId="77777777" w:rsidR="002F7F17" w:rsidRDefault="002F7F17" w:rsidP="002F7F17">
      <w:pPr>
        <w:rPr>
          <w:rFonts w:asciiTheme="minorHAnsi" w:hAnsiTheme="minorHAnsi" w:cstheme="minorHAnsi"/>
        </w:rPr>
      </w:pPr>
    </w:p>
    <w:p w14:paraId="4F70DAA3" w14:textId="0422CA04" w:rsidR="002F7F17" w:rsidRPr="00E33CFF" w:rsidRDefault="002F7F17" w:rsidP="008E6233">
      <w:pPr>
        <w:keepNext/>
        <w:keepLines/>
        <w:spacing w:after="120"/>
        <w:jc w:val="center"/>
        <w:rPr>
          <w:rFonts w:asciiTheme="minorHAnsi" w:hAnsiTheme="minorHAnsi" w:cstheme="minorHAnsi"/>
          <w:color w:val="3D728A"/>
          <w:sz w:val="28"/>
          <w:szCs w:val="28"/>
        </w:rPr>
      </w:pPr>
      <w:r w:rsidRPr="00E33CFF">
        <w:rPr>
          <w:rFonts w:asciiTheme="minorHAnsi" w:hAnsiTheme="minorHAnsi" w:cstheme="minorHAnsi"/>
          <w:b/>
          <w:color w:val="3D728A"/>
          <w:sz w:val="28"/>
          <w:szCs w:val="28"/>
        </w:rPr>
        <w:lastRenderedPageBreak/>
        <w:t xml:space="preserve">Figure 1: </w:t>
      </w:r>
      <w:r w:rsidR="008C6296" w:rsidRPr="00E33CFF">
        <w:rPr>
          <w:rFonts w:asciiTheme="minorHAnsi" w:hAnsiTheme="minorHAnsi" w:cstheme="minorHAnsi"/>
          <w:b/>
          <w:color w:val="3D728A"/>
          <w:sz w:val="28"/>
          <w:szCs w:val="28"/>
        </w:rPr>
        <w:t xml:space="preserve">Standard Home </w:t>
      </w:r>
      <w:r w:rsidRPr="00E33CFF">
        <w:rPr>
          <w:rFonts w:asciiTheme="minorHAnsi" w:hAnsiTheme="minorHAnsi" w:cstheme="minorHAnsi"/>
          <w:b/>
          <w:color w:val="3D728A"/>
          <w:sz w:val="28"/>
          <w:szCs w:val="28"/>
        </w:rPr>
        <w:t>Design Types, Margins and Costs – Climate Zone 12</w:t>
      </w:r>
    </w:p>
    <w:p w14:paraId="0433ABF3" w14:textId="221938D0" w:rsidR="00296E7B" w:rsidRDefault="00206ACB" w:rsidP="00687E0B">
      <w:pPr>
        <w:jc w:val="center"/>
        <w:rPr>
          <w:rStyle w:val="normaltextrun"/>
          <w:rFonts w:asciiTheme="minorHAnsi" w:eastAsia="MS Mincho" w:hAnsiTheme="minorHAnsi" w:cstheme="minorHAnsi"/>
          <w:shd w:val="clear" w:color="auto" w:fill="FFFFFF"/>
        </w:rPr>
      </w:pPr>
      <w:r>
        <w:rPr>
          <w:noProof/>
        </w:rPr>
        <w:drawing>
          <wp:inline distT="0" distB="0" distL="0" distR="0" wp14:anchorId="66ECA8DA" wp14:editId="5BA9C0A4">
            <wp:extent cx="5676900" cy="3124200"/>
            <wp:effectExtent l="0" t="0" r="12700" b="12700"/>
            <wp:docPr id="56480785" name="Chart 1" descr="Graph depicting Climate Zone 12 results: EDR1 compliance margin and initial costs for an all-electric and mixed fuel standard size home.">
              <a:extLst xmlns:a="http://schemas.openxmlformats.org/drawingml/2006/main">
                <a:ext uri="{FF2B5EF4-FFF2-40B4-BE49-F238E27FC236}">
                  <a16:creationId xmlns:a16="http://schemas.microsoft.com/office/drawing/2014/main" id="{C11B8C3A-0191-E342-B37F-51106A602F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CC66DCB" w14:textId="77777777" w:rsidR="00296E7B" w:rsidRDefault="00296E7B" w:rsidP="0088787B">
      <w:pPr>
        <w:rPr>
          <w:rStyle w:val="normaltextrun"/>
          <w:rFonts w:asciiTheme="minorHAnsi" w:eastAsia="MS Mincho" w:hAnsiTheme="minorHAnsi" w:cstheme="minorHAnsi"/>
          <w:shd w:val="clear" w:color="auto" w:fill="FFFFFF"/>
        </w:rPr>
      </w:pPr>
    </w:p>
    <w:p w14:paraId="2F24FE38" w14:textId="3392C312" w:rsidR="00760C69" w:rsidRPr="008E6233" w:rsidRDefault="002B33D7" w:rsidP="0088787B">
      <w:pPr>
        <w:rPr>
          <w:rStyle w:val="normaltextrun"/>
          <w:rFonts w:asciiTheme="minorHAnsi" w:eastAsia="MS Mincho" w:hAnsiTheme="minorHAnsi" w:cstheme="minorBidi"/>
          <w:shd w:val="clear" w:color="auto" w:fill="FFFFFF"/>
        </w:rPr>
      </w:pPr>
      <w:r w:rsidRPr="4B960788">
        <w:rPr>
          <w:rStyle w:val="normaltextrun"/>
          <w:rFonts w:asciiTheme="minorHAnsi" w:eastAsia="MS Mincho" w:hAnsiTheme="minorHAnsi" w:cstheme="minorBidi"/>
          <w:shd w:val="clear" w:color="auto" w:fill="FFFFFF"/>
        </w:rPr>
        <w:t>The results are different for smaller homes</w:t>
      </w:r>
      <w:r w:rsidR="00851A3F" w:rsidRPr="4B960788">
        <w:rPr>
          <w:rStyle w:val="normaltextrun"/>
          <w:rFonts w:asciiTheme="minorHAnsi" w:eastAsia="MS Mincho" w:hAnsiTheme="minorHAnsi" w:cstheme="minorBidi"/>
          <w:shd w:val="clear" w:color="auto" w:fill="FFFFFF"/>
        </w:rPr>
        <w:t xml:space="preserve">, due to </w:t>
      </w:r>
      <w:r w:rsidR="00E56250" w:rsidRPr="4B960788">
        <w:rPr>
          <w:rStyle w:val="normaltextrun"/>
          <w:rFonts w:asciiTheme="minorHAnsi" w:eastAsia="MS Mincho" w:hAnsiTheme="minorHAnsi" w:cstheme="minorBidi"/>
          <w:shd w:val="clear" w:color="auto" w:fill="FFFFFF"/>
        </w:rPr>
        <w:t>smaller heating loads</w:t>
      </w:r>
      <w:r w:rsidR="4BC30F5E" w:rsidRPr="4B960788">
        <w:rPr>
          <w:rStyle w:val="normaltextrun"/>
          <w:rFonts w:asciiTheme="minorHAnsi" w:eastAsia="MS Mincho" w:hAnsiTheme="minorHAnsi" w:cstheme="minorBidi"/>
          <w:shd w:val="clear" w:color="auto" w:fill="FFFFFF"/>
        </w:rPr>
        <w:t xml:space="preserve">, higher window-to-wall </w:t>
      </w:r>
      <w:proofErr w:type="gramStart"/>
      <w:r w:rsidR="4BC30F5E" w:rsidRPr="4B960788">
        <w:rPr>
          <w:rStyle w:val="normaltextrun"/>
          <w:rFonts w:asciiTheme="minorHAnsi" w:eastAsia="MS Mincho" w:hAnsiTheme="minorHAnsi" w:cstheme="minorBidi"/>
          <w:shd w:val="clear" w:color="auto" w:fill="FFFFFF"/>
        </w:rPr>
        <w:t>ratios</w:t>
      </w:r>
      <w:proofErr w:type="gramEnd"/>
      <w:r w:rsidR="00E56250" w:rsidRPr="4B960788">
        <w:rPr>
          <w:rStyle w:val="normaltextrun"/>
          <w:rFonts w:asciiTheme="minorHAnsi" w:eastAsia="MS Mincho" w:hAnsiTheme="minorHAnsi" w:cstheme="minorBidi"/>
          <w:shd w:val="clear" w:color="auto" w:fill="FFFFFF"/>
        </w:rPr>
        <w:t xml:space="preserve"> and </w:t>
      </w:r>
      <w:r w:rsidR="663D2FA9" w:rsidRPr="4B960788">
        <w:rPr>
          <w:rStyle w:val="normaltextrun"/>
          <w:rFonts w:asciiTheme="minorHAnsi" w:eastAsia="MS Mincho" w:hAnsiTheme="minorHAnsi" w:cstheme="minorBidi"/>
          <w:shd w:val="clear" w:color="auto" w:fill="FFFFFF"/>
        </w:rPr>
        <w:t>limited opportunities for solar.</w:t>
      </w:r>
      <w:r w:rsidR="002E5A9E" w:rsidRPr="4B960788">
        <w:rPr>
          <w:rStyle w:val="normaltextrun"/>
          <w:rFonts w:asciiTheme="minorHAnsi" w:eastAsia="MS Mincho" w:hAnsiTheme="minorHAnsi" w:cstheme="minorBidi"/>
          <w:shd w:val="clear" w:color="auto" w:fill="FFFFFF"/>
        </w:rPr>
        <w:t xml:space="preserve"> </w:t>
      </w:r>
      <w:r w:rsidR="00B25908" w:rsidRPr="4B960788">
        <w:rPr>
          <w:rStyle w:val="normaltextrun"/>
          <w:rFonts w:asciiTheme="minorHAnsi" w:eastAsia="MS Mincho" w:hAnsiTheme="minorHAnsi" w:cstheme="minorBidi"/>
          <w:shd w:val="clear" w:color="auto" w:fill="FFFFFF"/>
        </w:rPr>
        <w:t xml:space="preserve">the same information for a typical 625 square foot ADU. </w:t>
      </w:r>
      <w:r w:rsidR="007F4724" w:rsidRPr="4B960788">
        <w:rPr>
          <w:rStyle w:val="normaltextrun"/>
          <w:rFonts w:asciiTheme="minorHAnsi" w:eastAsia="MS Mincho" w:hAnsiTheme="minorHAnsi" w:cstheme="minorBidi"/>
          <w:shd w:val="clear" w:color="auto" w:fill="FFFFFF"/>
        </w:rPr>
        <w:t>In</w:t>
      </w:r>
      <w:r w:rsidR="00EA5B5F" w:rsidRPr="4B960788">
        <w:rPr>
          <w:rStyle w:val="normaltextrun"/>
          <w:rFonts w:asciiTheme="minorHAnsi" w:eastAsia="MS Mincho" w:hAnsiTheme="minorHAnsi" w:cstheme="minorBidi"/>
          <w:shd w:val="clear" w:color="auto" w:fill="FFFFFF"/>
        </w:rPr>
        <w:t xml:space="preserve"> </w:t>
      </w:r>
      <w:r w:rsidR="0055581C" w:rsidRPr="4B960788">
        <w:rPr>
          <w:rStyle w:val="normaltextrun"/>
          <w:rFonts w:asciiTheme="minorHAnsi" w:eastAsia="MS Mincho" w:hAnsiTheme="minorHAnsi" w:cstheme="minorBidi"/>
          <w:shd w:val="clear" w:color="auto" w:fill="FFFFFF"/>
        </w:rPr>
        <w:t xml:space="preserve">this example in </w:t>
      </w:r>
      <w:r w:rsidR="00EA5B5F" w:rsidRPr="4B960788">
        <w:rPr>
          <w:rStyle w:val="normaltextrun"/>
          <w:rFonts w:asciiTheme="minorHAnsi" w:eastAsia="MS Mincho" w:hAnsiTheme="minorHAnsi" w:cstheme="minorBidi"/>
          <w:shd w:val="clear" w:color="auto" w:fill="FFFFFF"/>
        </w:rPr>
        <w:t xml:space="preserve">Climate Zone </w:t>
      </w:r>
      <w:r w:rsidR="0088787B" w:rsidRPr="4B960788">
        <w:rPr>
          <w:rStyle w:val="normaltextrun"/>
          <w:rFonts w:asciiTheme="minorHAnsi" w:eastAsia="MS Mincho" w:hAnsiTheme="minorHAnsi" w:cstheme="minorBidi"/>
          <w:shd w:val="clear" w:color="auto" w:fill="FFFFFF"/>
        </w:rPr>
        <w:t>12</w:t>
      </w:r>
      <w:r w:rsidR="0089460B" w:rsidRPr="4B960788">
        <w:rPr>
          <w:rStyle w:val="normaltextrun"/>
          <w:rFonts w:asciiTheme="minorHAnsi" w:eastAsia="MS Mincho" w:hAnsiTheme="minorHAnsi" w:cstheme="minorBidi"/>
          <w:shd w:val="clear" w:color="auto" w:fill="FFFFFF"/>
        </w:rPr>
        <w:t>,</w:t>
      </w:r>
      <w:r w:rsidR="007F4724" w:rsidRPr="4B960788">
        <w:rPr>
          <w:rStyle w:val="normaltextrun"/>
          <w:rFonts w:asciiTheme="minorHAnsi" w:eastAsia="MS Mincho" w:hAnsiTheme="minorHAnsi" w:cstheme="minorBidi"/>
          <w:shd w:val="clear" w:color="auto" w:fill="FFFFFF"/>
        </w:rPr>
        <w:t xml:space="preserve"> </w:t>
      </w:r>
      <w:r w:rsidR="0088787B" w:rsidRPr="4B960788">
        <w:rPr>
          <w:rStyle w:val="normaltextrun"/>
          <w:rFonts w:asciiTheme="minorHAnsi" w:eastAsia="MS Mincho" w:hAnsiTheme="minorHAnsi" w:cstheme="minorBidi"/>
          <w:shd w:val="clear" w:color="auto" w:fill="FFFFFF"/>
        </w:rPr>
        <w:t xml:space="preserve">a modest margin of four EDR1 points could </w:t>
      </w:r>
      <w:r w:rsidR="00760C69" w:rsidRPr="4B960788">
        <w:rPr>
          <w:rStyle w:val="normaltextrun"/>
          <w:rFonts w:asciiTheme="minorHAnsi" w:eastAsia="MS Mincho" w:hAnsiTheme="minorHAnsi" w:cstheme="minorBidi"/>
          <w:shd w:val="clear" w:color="auto" w:fill="FFFFFF"/>
        </w:rPr>
        <w:t>easily be achieved with an all-electric design</w:t>
      </w:r>
      <w:r w:rsidR="004769AB" w:rsidRPr="4B960788">
        <w:rPr>
          <w:rStyle w:val="normaltextrun"/>
          <w:rFonts w:asciiTheme="minorHAnsi" w:eastAsia="MS Mincho" w:hAnsiTheme="minorHAnsi" w:cstheme="minorBidi"/>
          <w:shd w:val="clear" w:color="auto" w:fill="FFFFFF"/>
        </w:rPr>
        <w:t xml:space="preserve"> but a margin of 11 </w:t>
      </w:r>
      <w:r w:rsidR="0055581C" w:rsidRPr="4B960788">
        <w:rPr>
          <w:rStyle w:val="normaltextrun"/>
          <w:rFonts w:asciiTheme="minorHAnsi" w:eastAsia="MS Mincho" w:hAnsiTheme="minorHAnsi" w:cstheme="minorBidi"/>
          <w:shd w:val="clear" w:color="auto" w:fill="FFFFFF"/>
        </w:rPr>
        <w:t>(</w:t>
      </w:r>
      <w:r w:rsidR="00F42CAA" w:rsidRPr="4B960788">
        <w:rPr>
          <w:rStyle w:val="normaltextrun"/>
          <w:rFonts w:asciiTheme="minorHAnsi" w:eastAsia="MS Mincho" w:hAnsiTheme="minorHAnsi" w:cstheme="minorBidi"/>
          <w:shd w:val="clear" w:color="auto" w:fill="FFFFFF"/>
        </w:rPr>
        <w:t xml:space="preserve">for standard homes) </w:t>
      </w:r>
      <w:r w:rsidR="004769AB" w:rsidRPr="4B960788">
        <w:rPr>
          <w:rStyle w:val="normaltextrun"/>
          <w:rFonts w:asciiTheme="minorHAnsi" w:eastAsia="MS Mincho" w:hAnsiTheme="minorHAnsi" w:cstheme="minorBidi"/>
          <w:shd w:val="clear" w:color="auto" w:fill="FFFFFF"/>
        </w:rPr>
        <w:t>would be too onerous. In this case</w:t>
      </w:r>
      <w:r w:rsidR="005F688C" w:rsidRPr="4B960788">
        <w:rPr>
          <w:rStyle w:val="normaltextrun"/>
          <w:rFonts w:asciiTheme="minorHAnsi" w:eastAsia="MS Mincho" w:hAnsiTheme="minorHAnsi" w:cstheme="minorBidi"/>
          <w:shd w:val="clear" w:color="auto" w:fill="FFFFFF"/>
        </w:rPr>
        <w:t xml:space="preserve">, a reasonable margin of 6.6 could be applied to all homes less than 1,500 square feet. This would require some modest additional efficiency or solar PV </w:t>
      </w:r>
      <w:r w:rsidR="009E3CB9" w:rsidRPr="4B960788">
        <w:rPr>
          <w:rStyle w:val="normaltextrun"/>
          <w:rFonts w:asciiTheme="minorHAnsi" w:eastAsia="MS Mincho" w:hAnsiTheme="minorHAnsi" w:cstheme="minorBidi"/>
          <w:shd w:val="clear" w:color="auto" w:fill="FFFFFF"/>
        </w:rPr>
        <w:t>but would maintain a significant deterrent for mixed-fuel designs. By apply</w:t>
      </w:r>
      <w:r w:rsidR="00BE1998" w:rsidRPr="4B960788">
        <w:rPr>
          <w:rStyle w:val="normaltextrun"/>
          <w:rFonts w:asciiTheme="minorHAnsi" w:eastAsia="MS Mincho" w:hAnsiTheme="minorHAnsi" w:cstheme="minorBidi"/>
          <w:shd w:val="clear" w:color="auto" w:fill="FFFFFF"/>
        </w:rPr>
        <w:t>ing</w:t>
      </w:r>
      <w:r w:rsidR="009E3CB9" w:rsidRPr="4B960788">
        <w:rPr>
          <w:rStyle w:val="normaltextrun"/>
          <w:rFonts w:asciiTheme="minorHAnsi" w:eastAsia="MS Mincho" w:hAnsiTheme="minorHAnsi" w:cstheme="minorBidi"/>
          <w:shd w:val="clear" w:color="auto" w:fill="FFFFFF"/>
        </w:rPr>
        <w:t xml:space="preserve"> a </w:t>
      </w:r>
      <w:r w:rsidR="00E302C6" w:rsidRPr="4B960788">
        <w:rPr>
          <w:rStyle w:val="normaltextrun"/>
          <w:rFonts w:asciiTheme="minorHAnsi" w:eastAsia="MS Mincho" w:hAnsiTheme="minorHAnsi" w:cstheme="minorBidi"/>
          <w:shd w:val="clear" w:color="auto" w:fill="FFFFFF"/>
        </w:rPr>
        <w:t>reduced margin for smaller homes</w:t>
      </w:r>
      <w:r w:rsidR="00F42CAA" w:rsidRPr="4B960788">
        <w:rPr>
          <w:rStyle w:val="normaltextrun"/>
          <w:rFonts w:asciiTheme="minorHAnsi" w:eastAsia="MS Mincho" w:hAnsiTheme="minorHAnsi" w:cstheme="minorBidi"/>
          <w:shd w:val="clear" w:color="auto" w:fill="FFFFFF"/>
        </w:rPr>
        <w:t xml:space="preserve">, </w:t>
      </w:r>
      <w:r w:rsidR="00CB3AF8" w:rsidRPr="4B960788">
        <w:rPr>
          <w:rStyle w:val="normaltextrun"/>
          <w:rFonts w:asciiTheme="minorHAnsi" w:eastAsia="MS Mincho" w:hAnsiTheme="minorHAnsi" w:cstheme="minorBidi"/>
          <w:shd w:val="clear" w:color="auto" w:fill="FFFFFF"/>
        </w:rPr>
        <w:t xml:space="preserve">jurisdictions </w:t>
      </w:r>
      <w:r w:rsidR="00BE1998" w:rsidRPr="4B960788">
        <w:rPr>
          <w:rStyle w:val="normaltextrun"/>
          <w:rFonts w:asciiTheme="minorHAnsi" w:eastAsia="MS Mincho" w:hAnsiTheme="minorHAnsi" w:cstheme="minorBidi"/>
          <w:shd w:val="clear" w:color="auto" w:fill="FFFFFF"/>
        </w:rPr>
        <w:t xml:space="preserve">in some climate zones </w:t>
      </w:r>
      <w:r w:rsidR="00F42CAA" w:rsidRPr="4B960788">
        <w:rPr>
          <w:rStyle w:val="normaltextrun"/>
          <w:rFonts w:asciiTheme="minorHAnsi" w:eastAsia="MS Mincho" w:hAnsiTheme="minorHAnsi" w:cstheme="minorBidi"/>
          <w:shd w:val="clear" w:color="auto" w:fill="FFFFFF"/>
        </w:rPr>
        <w:t>may</w:t>
      </w:r>
      <w:r w:rsidR="00CB3AF8" w:rsidRPr="4B960788">
        <w:rPr>
          <w:rStyle w:val="normaltextrun"/>
          <w:rFonts w:asciiTheme="minorHAnsi" w:eastAsia="MS Mincho" w:hAnsiTheme="minorHAnsi" w:cstheme="minorBidi"/>
          <w:shd w:val="clear" w:color="auto" w:fill="FFFFFF"/>
        </w:rPr>
        <w:t xml:space="preserve"> encourage all-electric construction without compromising affordable housing goals.</w:t>
      </w:r>
      <w:r w:rsidR="00BE1998" w:rsidRPr="4B960788" w:rsidDel="000141D4">
        <w:rPr>
          <w:rStyle w:val="normaltextrun"/>
          <w:rFonts w:asciiTheme="minorHAnsi" w:eastAsia="MS Mincho" w:hAnsiTheme="minorHAnsi" w:cstheme="minorBidi"/>
          <w:shd w:val="clear" w:color="auto" w:fill="FFFFFF"/>
        </w:rPr>
        <w:t xml:space="preserve"> </w:t>
      </w:r>
      <w:r w:rsidR="0017005D" w:rsidRPr="4B960788">
        <w:rPr>
          <w:rStyle w:val="normaltextrun"/>
          <w:rFonts w:asciiTheme="minorHAnsi" w:eastAsia="MS Mincho" w:hAnsiTheme="minorHAnsi" w:cstheme="minorBidi"/>
          <w:shd w:val="clear" w:color="auto" w:fill="FFFFFF"/>
        </w:rPr>
        <w:t>In other climate zones, it may be necessary to exempt smaller homes altogether</w:t>
      </w:r>
      <w:r w:rsidR="002D4AA5" w:rsidRPr="4B960788">
        <w:rPr>
          <w:rStyle w:val="normaltextrun"/>
          <w:rFonts w:asciiTheme="minorHAnsi" w:eastAsia="MS Mincho" w:hAnsiTheme="minorHAnsi" w:cstheme="minorBidi"/>
          <w:shd w:val="clear" w:color="auto" w:fill="FFFFFF"/>
        </w:rPr>
        <w:t xml:space="preserve">. Attachment 1 </w:t>
      </w:r>
      <w:r w:rsidR="00BB41EF" w:rsidRPr="4B960788">
        <w:rPr>
          <w:rStyle w:val="normaltextrun"/>
          <w:rFonts w:asciiTheme="minorHAnsi" w:eastAsia="MS Mincho" w:hAnsiTheme="minorHAnsi" w:cstheme="minorBidi"/>
          <w:shd w:val="clear" w:color="auto" w:fill="FFFFFF"/>
        </w:rPr>
        <w:t>specifies reasonable margins for smaller homes</w:t>
      </w:r>
      <w:r w:rsidR="00EB7DE6" w:rsidRPr="4B960788">
        <w:rPr>
          <w:rStyle w:val="normaltextrun"/>
          <w:rFonts w:asciiTheme="minorHAnsi" w:eastAsia="MS Mincho" w:hAnsiTheme="minorHAnsi" w:cstheme="minorBidi"/>
          <w:shd w:val="clear" w:color="auto" w:fill="FFFFFF"/>
        </w:rPr>
        <w:t xml:space="preserve"> and identifies climate zone</w:t>
      </w:r>
      <w:r w:rsidR="00C60946" w:rsidRPr="4B960788">
        <w:rPr>
          <w:rStyle w:val="normaltextrun"/>
          <w:rFonts w:asciiTheme="minorHAnsi" w:eastAsia="MS Mincho" w:hAnsiTheme="minorHAnsi" w:cstheme="minorBidi"/>
          <w:shd w:val="clear" w:color="auto" w:fill="FFFFFF"/>
        </w:rPr>
        <w:t>s</w:t>
      </w:r>
      <w:r w:rsidR="00EB7DE6" w:rsidRPr="4B960788">
        <w:rPr>
          <w:rStyle w:val="normaltextrun"/>
          <w:rFonts w:asciiTheme="minorHAnsi" w:eastAsia="MS Mincho" w:hAnsiTheme="minorHAnsi" w:cstheme="minorBidi"/>
          <w:shd w:val="clear" w:color="auto" w:fill="FFFFFF"/>
        </w:rPr>
        <w:t xml:space="preserve"> that should exempt smaller homes.</w:t>
      </w:r>
      <w:r w:rsidR="00E302C6" w:rsidRPr="4B960788">
        <w:rPr>
          <w:rStyle w:val="normaltextrun"/>
          <w:rFonts w:asciiTheme="minorHAnsi" w:eastAsia="MS Mincho" w:hAnsiTheme="minorHAnsi" w:cstheme="minorBidi"/>
          <w:shd w:val="clear" w:color="auto" w:fill="FFFFFF"/>
        </w:rPr>
        <w:t xml:space="preserve"> </w:t>
      </w:r>
    </w:p>
    <w:p w14:paraId="42DB5216" w14:textId="77777777" w:rsidR="007B3217" w:rsidRDefault="007B3217">
      <w:pPr>
        <w:spacing w:after="160" w:line="259" w:lineRule="auto"/>
        <w:rPr>
          <w:rFonts w:asciiTheme="minorHAnsi" w:hAnsiTheme="minorHAnsi" w:cstheme="minorHAnsi"/>
        </w:rPr>
      </w:pPr>
    </w:p>
    <w:p w14:paraId="051F3D98" w14:textId="461D1EFD" w:rsidR="00796564" w:rsidRPr="00E33CFF" w:rsidRDefault="00796564" w:rsidP="006203C7">
      <w:pPr>
        <w:keepNext/>
        <w:spacing w:after="60"/>
        <w:jc w:val="center"/>
        <w:rPr>
          <w:rFonts w:asciiTheme="minorHAnsi" w:hAnsiTheme="minorHAnsi" w:cstheme="minorHAnsi"/>
          <w:b/>
          <w:color w:val="3D728A"/>
          <w:sz w:val="28"/>
          <w:szCs w:val="28"/>
        </w:rPr>
      </w:pPr>
      <w:r w:rsidRPr="00E33CFF">
        <w:rPr>
          <w:rFonts w:asciiTheme="minorHAnsi" w:hAnsiTheme="minorHAnsi" w:cstheme="minorHAnsi"/>
          <w:b/>
          <w:color w:val="3D728A"/>
          <w:sz w:val="28"/>
          <w:szCs w:val="28"/>
        </w:rPr>
        <w:t xml:space="preserve">Table </w:t>
      </w:r>
      <w:r w:rsidRPr="00E33CFF">
        <w:rPr>
          <w:rFonts w:asciiTheme="minorHAnsi" w:hAnsiTheme="minorHAnsi" w:cstheme="minorHAnsi"/>
          <w:b/>
          <w:bCs/>
          <w:color w:val="3D728A"/>
          <w:sz w:val="28"/>
          <w:szCs w:val="28"/>
        </w:rPr>
        <w:t>2</w:t>
      </w:r>
      <w:r w:rsidRPr="00E33CFF">
        <w:rPr>
          <w:rFonts w:asciiTheme="minorHAnsi" w:hAnsiTheme="minorHAnsi" w:cstheme="minorHAnsi"/>
          <w:b/>
          <w:color w:val="3D728A"/>
          <w:sz w:val="28"/>
          <w:szCs w:val="28"/>
        </w:rPr>
        <w:t xml:space="preserve">: </w:t>
      </w:r>
      <w:r w:rsidR="000B3604" w:rsidRPr="00E33CFF">
        <w:rPr>
          <w:rFonts w:asciiTheme="minorHAnsi" w:hAnsiTheme="minorHAnsi" w:cstheme="minorHAnsi"/>
          <w:b/>
          <w:color w:val="3D728A"/>
          <w:sz w:val="28"/>
          <w:szCs w:val="28"/>
        </w:rPr>
        <w:t xml:space="preserve">ADU </w:t>
      </w:r>
      <w:r w:rsidR="007B5B19" w:rsidRPr="00E33CFF">
        <w:rPr>
          <w:rFonts w:asciiTheme="minorHAnsi" w:hAnsiTheme="minorHAnsi" w:cstheme="minorHAnsi"/>
          <w:b/>
          <w:color w:val="3D728A"/>
          <w:sz w:val="28"/>
          <w:szCs w:val="28"/>
        </w:rPr>
        <w:t>(625 sf)</w:t>
      </w:r>
      <w:r w:rsidR="000B3604" w:rsidRPr="00E33CFF">
        <w:rPr>
          <w:rFonts w:asciiTheme="minorHAnsi" w:hAnsiTheme="minorHAnsi" w:cstheme="minorHAnsi"/>
          <w:b/>
          <w:color w:val="3D728A"/>
          <w:sz w:val="28"/>
          <w:szCs w:val="28"/>
        </w:rPr>
        <w:t xml:space="preserve"> </w:t>
      </w:r>
      <w:r w:rsidRPr="00E33CFF">
        <w:rPr>
          <w:rFonts w:asciiTheme="minorHAnsi" w:hAnsiTheme="minorHAnsi" w:cstheme="minorHAnsi"/>
          <w:b/>
          <w:color w:val="3D728A"/>
          <w:sz w:val="28"/>
          <w:szCs w:val="28"/>
        </w:rPr>
        <w:t>Design Types and Margins – Climate Zone 12</w:t>
      </w:r>
    </w:p>
    <w:tbl>
      <w:tblPr>
        <w:tblW w:w="91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72" w:type="dxa"/>
        </w:tblCellMar>
        <w:tblLook w:val="04A0" w:firstRow="1" w:lastRow="0" w:firstColumn="1" w:lastColumn="0" w:noHBand="0" w:noVBand="1"/>
      </w:tblPr>
      <w:tblGrid>
        <w:gridCol w:w="1396"/>
        <w:gridCol w:w="3636"/>
        <w:gridCol w:w="1300"/>
        <w:gridCol w:w="1380"/>
        <w:gridCol w:w="1400"/>
      </w:tblGrid>
      <w:tr w:rsidR="007B3217" w14:paraId="2BCAEA29" w14:textId="77777777" w:rsidTr="00641D95">
        <w:trPr>
          <w:trHeight w:val="680"/>
        </w:trPr>
        <w:tc>
          <w:tcPr>
            <w:tcW w:w="1396" w:type="dxa"/>
            <w:shd w:val="clear" w:color="auto" w:fill="auto"/>
            <w:vAlign w:val="center"/>
            <w:hideMark/>
          </w:tcPr>
          <w:p w14:paraId="7293249F" w14:textId="77777777" w:rsidR="007B3217" w:rsidRDefault="007B3217" w:rsidP="006E07AE">
            <w:pPr>
              <w:rPr>
                <w:rFonts w:ascii="Calibri" w:hAnsi="Calibri" w:cs="Calibri"/>
                <w:b/>
                <w:bCs/>
                <w:color w:val="000000"/>
              </w:rPr>
            </w:pPr>
            <w:r>
              <w:rPr>
                <w:rFonts w:ascii="Calibri" w:hAnsi="Calibri" w:cs="Calibri"/>
                <w:b/>
                <w:bCs/>
                <w:color w:val="000000"/>
              </w:rPr>
              <w:t>Fuel</w:t>
            </w:r>
          </w:p>
        </w:tc>
        <w:tc>
          <w:tcPr>
            <w:tcW w:w="3636" w:type="dxa"/>
            <w:shd w:val="clear" w:color="auto" w:fill="auto"/>
            <w:vAlign w:val="center"/>
            <w:hideMark/>
          </w:tcPr>
          <w:p w14:paraId="11F0DD54" w14:textId="77777777" w:rsidR="007B3217" w:rsidRDefault="007B3217" w:rsidP="006E07AE">
            <w:pPr>
              <w:rPr>
                <w:rFonts w:ascii="Calibri" w:hAnsi="Calibri" w:cs="Calibri"/>
                <w:b/>
                <w:bCs/>
                <w:color w:val="000000"/>
              </w:rPr>
            </w:pPr>
            <w:r>
              <w:rPr>
                <w:rFonts w:ascii="Calibri" w:hAnsi="Calibri" w:cs="Calibri"/>
                <w:b/>
                <w:bCs/>
                <w:color w:val="000000"/>
              </w:rPr>
              <w:t>Design Type</w:t>
            </w:r>
          </w:p>
        </w:tc>
        <w:tc>
          <w:tcPr>
            <w:tcW w:w="1300" w:type="dxa"/>
            <w:shd w:val="clear" w:color="auto" w:fill="auto"/>
            <w:vAlign w:val="center"/>
            <w:hideMark/>
          </w:tcPr>
          <w:p w14:paraId="606792D7" w14:textId="77777777" w:rsidR="007B3217" w:rsidRDefault="007B3217" w:rsidP="006E07AE">
            <w:pPr>
              <w:jc w:val="center"/>
              <w:rPr>
                <w:rFonts w:ascii="Calibri" w:hAnsi="Calibri" w:cs="Calibri"/>
                <w:b/>
                <w:bCs/>
                <w:color w:val="000000"/>
              </w:rPr>
            </w:pPr>
            <w:r>
              <w:rPr>
                <w:rFonts w:ascii="Calibri" w:hAnsi="Calibri" w:cs="Calibri"/>
                <w:b/>
                <w:bCs/>
                <w:color w:val="000000"/>
              </w:rPr>
              <w:t>EDR1 Margin</w:t>
            </w:r>
          </w:p>
        </w:tc>
        <w:tc>
          <w:tcPr>
            <w:tcW w:w="1380" w:type="dxa"/>
            <w:shd w:val="clear" w:color="auto" w:fill="auto"/>
            <w:vAlign w:val="center"/>
            <w:hideMark/>
          </w:tcPr>
          <w:p w14:paraId="00792C35" w14:textId="77777777" w:rsidR="007B3217" w:rsidRDefault="007B3217" w:rsidP="006E07AE">
            <w:pPr>
              <w:jc w:val="center"/>
              <w:rPr>
                <w:rFonts w:ascii="Calibri" w:hAnsi="Calibri" w:cs="Calibri"/>
                <w:b/>
                <w:bCs/>
                <w:color w:val="000000"/>
              </w:rPr>
            </w:pPr>
            <w:r>
              <w:rPr>
                <w:rFonts w:ascii="Calibri" w:hAnsi="Calibri" w:cs="Calibri"/>
                <w:b/>
                <w:bCs/>
                <w:color w:val="000000"/>
              </w:rPr>
              <w:t>Initial Capital Cost</w:t>
            </w:r>
          </w:p>
        </w:tc>
        <w:tc>
          <w:tcPr>
            <w:tcW w:w="1400" w:type="dxa"/>
            <w:shd w:val="clear" w:color="auto" w:fill="auto"/>
            <w:vAlign w:val="center"/>
            <w:hideMark/>
          </w:tcPr>
          <w:p w14:paraId="43A1A886" w14:textId="77777777" w:rsidR="007B3217" w:rsidRDefault="007B3217" w:rsidP="006E07AE">
            <w:pPr>
              <w:jc w:val="center"/>
              <w:rPr>
                <w:rFonts w:ascii="Calibri" w:hAnsi="Calibri" w:cs="Calibri"/>
                <w:b/>
                <w:bCs/>
                <w:color w:val="000000"/>
              </w:rPr>
            </w:pPr>
            <w:r>
              <w:rPr>
                <w:rFonts w:ascii="Calibri" w:hAnsi="Calibri" w:cs="Calibri"/>
                <w:b/>
                <w:bCs/>
                <w:color w:val="000000"/>
              </w:rPr>
              <w:t>GHG Reductions</w:t>
            </w:r>
          </w:p>
        </w:tc>
      </w:tr>
      <w:tr w:rsidR="007B3217" w14:paraId="5ACB2E4E" w14:textId="77777777" w:rsidTr="00641D95">
        <w:trPr>
          <w:trHeight w:val="300"/>
        </w:trPr>
        <w:tc>
          <w:tcPr>
            <w:tcW w:w="1396" w:type="dxa"/>
            <w:vMerge w:val="restart"/>
            <w:shd w:val="clear" w:color="auto" w:fill="auto"/>
            <w:vAlign w:val="center"/>
            <w:hideMark/>
          </w:tcPr>
          <w:p w14:paraId="2285DECB" w14:textId="77777777" w:rsidR="007B3217" w:rsidRDefault="007B3217">
            <w:pPr>
              <w:rPr>
                <w:rFonts w:ascii="Calibri" w:hAnsi="Calibri" w:cs="Calibri"/>
                <w:b/>
                <w:bCs/>
                <w:color w:val="000000"/>
                <w:sz w:val="22"/>
                <w:szCs w:val="22"/>
              </w:rPr>
            </w:pPr>
            <w:r>
              <w:rPr>
                <w:rFonts w:ascii="Calibri" w:hAnsi="Calibri" w:cs="Calibri"/>
                <w:b/>
                <w:bCs/>
                <w:color w:val="000000"/>
                <w:sz w:val="22"/>
                <w:szCs w:val="22"/>
              </w:rPr>
              <w:t>Mixed-Fuel</w:t>
            </w:r>
          </w:p>
        </w:tc>
        <w:tc>
          <w:tcPr>
            <w:tcW w:w="0" w:type="auto"/>
            <w:shd w:val="clear" w:color="auto" w:fill="auto"/>
            <w:noWrap/>
            <w:vAlign w:val="bottom"/>
            <w:hideMark/>
          </w:tcPr>
          <w:p w14:paraId="04C0D88F" w14:textId="77777777" w:rsidR="007B3217" w:rsidRDefault="007B3217">
            <w:pPr>
              <w:rPr>
                <w:rFonts w:ascii="Calibri" w:hAnsi="Calibri" w:cs="Calibri"/>
                <w:color w:val="000000"/>
                <w:sz w:val="22"/>
                <w:szCs w:val="22"/>
              </w:rPr>
            </w:pPr>
            <w:r>
              <w:rPr>
                <w:rFonts w:ascii="Calibri" w:hAnsi="Calibri" w:cs="Calibri"/>
                <w:color w:val="000000"/>
                <w:sz w:val="22"/>
                <w:szCs w:val="22"/>
              </w:rPr>
              <w:t>Business-As-Usual (zero margin)</w:t>
            </w:r>
          </w:p>
        </w:tc>
        <w:tc>
          <w:tcPr>
            <w:tcW w:w="0" w:type="auto"/>
            <w:shd w:val="clear" w:color="auto" w:fill="auto"/>
            <w:noWrap/>
            <w:vAlign w:val="bottom"/>
            <w:hideMark/>
          </w:tcPr>
          <w:p w14:paraId="75408C03" w14:textId="31137543" w:rsidR="007B3217" w:rsidRDefault="0036476D" w:rsidP="0036476D">
            <w:pPr>
              <w:jc w:val="center"/>
              <w:rPr>
                <w:rFonts w:ascii="Calibri" w:hAnsi="Calibri" w:cs="Calibri"/>
                <w:color w:val="000000"/>
                <w:sz w:val="22"/>
                <w:szCs w:val="22"/>
              </w:rPr>
            </w:pPr>
            <w:r>
              <w:rPr>
                <w:rFonts w:ascii="Calibri" w:hAnsi="Calibri" w:cs="Calibri"/>
                <w:color w:val="000000"/>
                <w:sz w:val="22"/>
                <w:szCs w:val="22"/>
              </w:rPr>
              <w:t>-</w:t>
            </w:r>
          </w:p>
        </w:tc>
        <w:tc>
          <w:tcPr>
            <w:tcW w:w="0" w:type="auto"/>
            <w:shd w:val="clear" w:color="auto" w:fill="auto"/>
            <w:noWrap/>
            <w:vAlign w:val="bottom"/>
            <w:hideMark/>
          </w:tcPr>
          <w:p w14:paraId="4848336B" w14:textId="387CC026" w:rsidR="007B3217" w:rsidRDefault="0036476D" w:rsidP="0036476D">
            <w:pPr>
              <w:jc w:val="center"/>
              <w:rPr>
                <w:rFonts w:ascii="Calibri" w:hAnsi="Calibri" w:cs="Calibri"/>
                <w:color w:val="000000"/>
                <w:sz w:val="22"/>
                <w:szCs w:val="22"/>
              </w:rPr>
            </w:pPr>
            <w:r>
              <w:rPr>
                <w:rFonts w:ascii="Calibri" w:hAnsi="Calibri" w:cs="Calibri"/>
                <w:color w:val="000000"/>
                <w:sz w:val="22"/>
                <w:szCs w:val="22"/>
              </w:rPr>
              <w:t>-</w:t>
            </w:r>
          </w:p>
        </w:tc>
        <w:tc>
          <w:tcPr>
            <w:tcW w:w="0" w:type="auto"/>
            <w:shd w:val="clear" w:color="auto" w:fill="auto"/>
            <w:noWrap/>
            <w:vAlign w:val="bottom"/>
            <w:hideMark/>
          </w:tcPr>
          <w:p w14:paraId="14E9721B" w14:textId="242753B6" w:rsidR="007B3217" w:rsidRDefault="0036476D" w:rsidP="0036476D">
            <w:pPr>
              <w:jc w:val="center"/>
              <w:rPr>
                <w:rFonts w:ascii="Calibri" w:hAnsi="Calibri" w:cs="Calibri"/>
                <w:color w:val="000000"/>
                <w:sz w:val="22"/>
                <w:szCs w:val="22"/>
              </w:rPr>
            </w:pPr>
            <w:r>
              <w:rPr>
                <w:rFonts w:ascii="Calibri" w:hAnsi="Calibri" w:cs="Calibri"/>
                <w:color w:val="000000"/>
                <w:sz w:val="22"/>
                <w:szCs w:val="22"/>
              </w:rPr>
              <w:t>-</w:t>
            </w:r>
          </w:p>
        </w:tc>
      </w:tr>
      <w:tr w:rsidR="007B3217" w14:paraId="7090AAB8" w14:textId="77777777" w:rsidTr="00641D95">
        <w:trPr>
          <w:trHeight w:val="320"/>
        </w:trPr>
        <w:tc>
          <w:tcPr>
            <w:tcW w:w="0" w:type="auto"/>
            <w:vMerge/>
            <w:vAlign w:val="center"/>
            <w:hideMark/>
          </w:tcPr>
          <w:p w14:paraId="3FBC3E87" w14:textId="77777777" w:rsidR="007B3217" w:rsidRDefault="007B3217">
            <w:pPr>
              <w:rPr>
                <w:rFonts w:ascii="Calibri" w:hAnsi="Calibri" w:cs="Calibri"/>
                <w:b/>
                <w:bCs/>
                <w:color w:val="000000"/>
                <w:sz w:val="22"/>
                <w:szCs w:val="22"/>
              </w:rPr>
            </w:pPr>
          </w:p>
        </w:tc>
        <w:tc>
          <w:tcPr>
            <w:tcW w:w="0" w:type="auto"/>
            <w:shd w:val="clear" w:color="auto" w:fill="auto"/>
            <w:noWrap/>
            <w:vAlign w:val="bottom"/>
            <w:hideMark/>
          </w:tcPr>
          <w:p w14:paraId="33B792DE" w14:textId="7FF6F037" w:rsidR="007B3217" w:rsidRDefault="007B3217">
            <w:pPr>
              <w:rPr>
                <w:rFonts w:ascii="Calibri" w:hAnsi="Calibri" w:cs="Calibri"/>
                <w:color w:val="000000"/>
                <w:sz w:val="22"/>
                <w:szCs w:val="22"/>
              </w:rPr>
            </w:pPr>
            <w:r>
              <w:rPr>
                <w:rFonts w:ascii="Calibri" w:hAnsi="Calibri" w:cs="Calibri"/>
                <w:color w:val="000000"/>
                <w:sz w:val="22"/>
                <w:szCs w:val="22"/>
              </w:rPr>
              <w:t>Efficiency,</w:t>
            </w:r>
            <w:r w:rsidR="00AE0DD1">
              <w:rPr>
                <w:rFonts w:ascii="Calibri" w:hAnsi="Calibri" w:cs="Calibri"/>
                <w:color w:val="000000"/>
                <w:sz w:val="22"/>
                <w:szCs w:val="22"/>
              </w:rPr>
              <w:t xml:space="preserve"> </w:t>
            </w:r>
            <w:r>
              <w:rPr>
                <w:rFonts w:ascii="Calibri" w:hAnsi="Calibri" w:cs="Calibri"/>
                <w:color w:val="000000"/>
                <w:sz w:val="22"/>
                <w:szCs w:val="22"/>
              </w:rPr>
              <w:t>PV</w:t>
            </w:r>
            <w:r w:rsidR="00AE0DD1">
              <w:rPr>
                <w:rFonts w:ascii="Calibri" w:hAnsi="Calibri" w:cs="Calibri"/>
                <w:color w:val="000000"/>
                <w:sz w:val="22"/>
                <w:szCs w:val="22"/>
              </w:rPr>
              <w:t xml:space="preserve"> </w:t>
            </w:r>
            <w:r>
              <w:rPr>
                <w:rFonts w:ascii="Calibri" w:hAnsi="Calibri" w:cs="Calibri"/>
                <w:color w:val="000000"/>
                <w:sz w:val="22"/>
                <w:szCs w:val="22"/>
              </w:rPr>
              <w:t>&amp;</w:t>
            </w:r>
            <w:r w:rsidR="00AE0DD1">
              <w:rPr>
                <w:rFonts w:ascii="Calibri" w:hAnsi="Calibri" w:cs="Calibri"/>
                <w:color w:val="000000"/>
                <w:sz w:val="22"/>
                <w:szCs w:val="22"/>
              </w:rPr>
              <w:t xml:space="preserve"> </w:t>
            </w:r>
            <w:r>
              <w:rPr>
                <w:rFonts w:ascii="Calibri" w:hAnsi="Calibri" w:cs="Calibri"/>
                <w:color w:val="000000"/>
                <w:sz w:val="22"/>
                <w:szCs w:val="22"/>
              </w:rPr>
              <w:t>Battery</w:t>
            </w:r>
          </w:p>
        </w:tc>
        <w:tc>
          <w:tcPr>
            <w:tcW w:w="0" w:type="auto"/>
            <w:shd w:val="clear" w:color="auto" w:fill="auto"/>
            <w:noWrap/>
            <w:vAlign w:val="bottom"/>
            <w:hideMark/>
          </w:tcPr>
          <w:p w14:paraId="248A0F9D" w14:textId="2C2F993E"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16</w:t>
            </w:r>
            <w:r w:rsidR="00ED3B43">
              <w:rPr>
                <w:rFonts w:ascii="Calibri" w:hAnsi="Calibri" w:cs="Calibri"/>
                <w:color w:val="000000"/>
                <w:sz w:val="22"/>
                <w:szCs w:val="22"/>
              </w:rPr>
              <w:t>.7</w:t>
            </w:r>
          </w:p>
        </w:tc>
        <w:tc>
          <w:tcPr>
            <w:tcW w:w="0" w:type="auto"/>
            <w:shd w:val="clear" w:color="auto" w:fill="auto"/>
            <w:noWrap/>
            <w:vAlign w:val="bottom"/>
            <w:hideMark/>
          </w:tcPr>
          <w:p w14:paraId="5F85C004" w14:textId="4D980D35"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$13,450</w:t>
            </w:r>
          </w:p>
        </w:tc>
        <w:tc>
          <w:tcPr>
            <w:tcW w:w="0" w:type="auto"/>
            <w:shd w:val="clear" w:color="auto" w:fill="auto"/>
            <w:noWrap/>
            <w:vAlign w:val="bottom"/>
            <w:hideMark/>
          </w:tcPr>
          <w:p w14:paraId="29244C52" w14:textId="77777777"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47%</w:t>
            </w:r>
          </w:p>
        </w:tc>
      </w:tr>
      <w:tr w:rsidR="007B3217" w14:paraId="069D4B73" w14:textId="77777777" w:rsidTr="00641D95">
        <w:trPr>
          <w:trHeight w:val="300"/>
        </w:trPr>
        <w:tc>
          <w:tcPr>
            <w:tcW w:w="1396" w:type="dxa"/>
            <w:vMerge w:val="restart"/>
            <w:shd w:val="clear" w:color="auto" w:fill="auto"/>
            <w:vAlign w:val="center"/>
            <w:hideMark/>
          </w:tcPr>
          <w:p w14:paraId="78F2593D" w14:textId="77777777" w:rsidR="007B3217" w:rsidRDefault="007B3217">
            <w:pPr>
              <w:rPr>
                <w:rFonts w:ascii="Calibri" w:hAnsi="Calibri" w:cs="Calibri"/>
                <w:b/>
                <w:bCs/>
                <w:color w:val="000000"/>
                <w:sz w:val="22"/>
                <w:szCs w:val="22"/>
              </w:rPr>
            </w:pPr>
            <w:r>
              <w:rPr>
                <w:rFonts w:ascii="Calibri" w:hAnsi="Calibri" w:cs="Calibri"/>
                <w:b/>
                <w:bCs/>
                <w:color w:val="000000"/>
                <w:sz w:val="22"/>
                <w:szCs w:val="22"/>
              </w:rPr>
              <w:t>All-Electric</w:t>
            </w:r>
          </w:p>
        </w:tc>
        <w:tc>
          <w:tcPr>
            <w:tcW w:w="0" w:type="auto"/>
            <w:shd w:val="clear" w:color="auto" w:fill="auto"/>
            <w:noWrap/>
            <w:vAlign w:val="bottom"/>
            <w:hideMark/>
          </w:tcPr>
          <w:p w14:paraId="045677DE" w14:textId="5F9C7339" w:rsidR="007B3217" w:rsidRDefault="007B3217">
            <w:pPr>
              <w:rPr>
                <w:rFonts w:ascii="Calibri" w:hAnsi="Calibri" w:cs="Calibri"/>
                <w:color w:val="000000"/>
                <w:sz w:val="22"/>
                <w:szCs w:val="22"/>
              </w:rPr>
            </w:pPr>
            <w:r>
              <w:rPr>
                <w:rFonts w:ascii="Calibri" w:hAnsi="Calibri" w:cs="Calibri"/>
                <w:color w:val="000000"/>
                <w:sz w:val="22"/>
                <w:szCs w:val="22"/>
              </w:rPr>
              <w:t>Prescriptive</w:t>
            </w:r>
            <w:r w:rsidR="00AE0DD1">
              <w:rPr>
                <w:rFonts w:ascii="Calibri" w:hAnsi="Calibri" w:cs="Calibri"/>
                <w:color w:val="000000"/>
                <w:sz w:val="22"/>
                <w:szCs w:val="22"/>
              </w:rPr>
              <w:t xml:space="preserve"> </w:t>
            </w:r>
            <w:r>
              <w:rPr>
                <w:rFonts w:ascii="Calibri" w:hAnsi="Calibri" w:cs="Calibri"/>
                <w:color w:val="000000"/>
                <w:sz w:val="22"/>
                <w:szCs w:val="22"/>
              </w:rPr>
              <w:t>Efficiency</w:t>
            </w:r>
          </w:p>
        </w:tc>
        <w:tc>
          <w:tcPr>
            <w:tcW w:w="0" w:type="auto"/>
            <w:shd w:val="clear" w:color="auto" w:fill="auto"/>
            <w:noWrap/>
            <w:vAlign w:val="bottom"/>
            <w:hideMark/>
          </w:tcPr>
          <w:p w14:paraId="0441391F" w14:textId="1EB50F82"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4</w:t>
            </w:r>
            <w:r w:rsidR="00984730">
              <w:rPr>
                <w:rFonts w:ascii="Calibri" w:hAnsi="Calibri" w:cs="Calibri"/>
                <w:color w:val="000000"/>
                <w:sz w:val="22"/>
                <w:szCs w:val="22"/>
              </w:rPr>
              <w:t>.6</w:t>
            </w:r>
          </w:p>
        </w:tc>
        <w:tc>
          <w:tcPr>
            <w:tcW w:w="0" w:type="auto"/>
            <w:shd w:val="clear" w:color="auto" w:fill="auto"/>
            <w:noWrap/>
            <w:vAlign w:val="bottom"/>
            <w:hideMark/>
          </w:tcPr>
          <w:p w14:paraId="553919F3" w14:textId="6AF7C616"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$(4,692)</w:t>
            </w:r>
          </w:p>
        </w:tc>
        <w:tc>
          <w:tcPr>
            <w:tcW w:w="0" w:type="auto"/>
            <w:shd w:val="clear" w:color="auto" w:fill="auto"/>
            <w:noWrap/>
            <w:vAlign w:val="bottom"/>
            <w:hideMark/>
          </w:tcPr>
          <w:p w14:paraId="0AA56841" w14:textId="77777777"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21%</w:t>
            </w:r>
          </w:p>
        </w:tc>
      </w:tr>
      <w:tr w:rsidR="007B3217" w14:paraId="575F3168" w14:textId="77777777" w:rsidTr="00641D95">
        <w:trPr>
          <w:trHeight w:val="300"/>
        </w:trPr>
        <w:tc>
          <w:tcPr>
            <w:tcW w:w="0" w:type="auto"/>
            <w:vMerge/>
            <w:vAlign w:val="center"/>
            <w:hideMark/>
          </w:tcPr>
          <w:p w14:paraId="5B643957" w14:textId="77777777" w:rsidR="007B3217" w:rsidRDefault="007B3217">
            <w:pPr>
              <w:rPr>
                <w:rFonts w:ascii="Calibri" w:hAnsi="Calibri" w:cs="Calibri"/>
                <w:b/>
                <w:bCs/>
                <w:color w:val="000000"/>
                <w:sz w:val="22"/>
                <w:szCs w:val="22"/>
              </w:rPr>
            </w:pPr>
          </w:p>
        </w:tc>
        <w:tc>
          <w:tcPr>
            <w:tcW w:w="0" w:type="auto"/>
            <w:shd w:val="clear" w:color="auto" w:fill="auto"/>
            <w:noWrap/>
            <w:vAlign w:val="bottom"/>
            <w:hideMark/>
          </w:tcPr>
          <w:p w14:paraId="2EF8B225" w14:textId="59EDAD40" w:rsidR="007B3217" w:rsidRDefault="007B3217">
            <w:pPr>
              <w:rPr>
                <w:rFonts w:ascii="Calibri" w:hAnsi="Calibri" w:cs="Calibri"/>
                <w:color w:val="000000"/>
                <w:sz w:val="22"/>
                <w:szCs w:val="22"/>
              </w:rPr>
            </w:pPr>
            <w:r>
              <w:rPr>
                <w:rFonts w:ascii="Calibri" w:hAnsi="Calibri" w:cs="Calibri"/>
                <w:color w:val="000000"/>
                <w:sz w:val="22"/>
                <w:szCs w:val="22"/>
              </w:rPr>
              <w:t>Efficiency,</w:t>
            </w:r>
            <w:r w:rsidR="00AE0DD1">
              <w:rPr>
                <w:rFonts w:ascii="Calibri" w:hAnsi="Calibri" w:cs="Calibri"/>
                <w:color w:val="000000"/>
                <w:sz w:val="22"/>
                <w:szCs w:val="22"/>
              </w:rPr>
              <w:t xml:space="preserve"> </w:t>
            </w:r>
            <w:r>
              <w:rPr>
                <w:rFonts w:ascii="Calibri" w:hAnsi="Calibri" w:cs="Calibri"/>
                <w:color w:val="000000"/>
                <w:sz w:val="22"/>
                <w:szCs w:val="22"/>
              </w:rPr>
              <w:t>PV</w:t>
            </w:r>
            <w:r w:rsidR="00AE0DD1">
              <w:rPr>
                <w:rFonts w:ascii="Calibri" w:hAnsi="Calibri" w:cs="Calibri"/>
                <w:color w:val="000000"/>
                <w:sz w:val="22"/>
                <w:szCs w:val="22"/>
              </w:rPr>
              <w:t xml:space="preserve"> </w:t>
            </w:r>
            <w:r>
              <w:rPr>
                <w:rFonts w:ascii="Calibri" w:hAnsi="Calibri" w:cs="Calibri"/>
                <w:color w:val="000000"/>
                <w:sz w:val="22"/>
                <w:szCs w:val="22"/>
              </w:rPr>
              <w:t>&amp;</w:t>
            </w:r>
            <w:r w:rsidR="00AE0DD1">
              <w:rPr>
                <w:rFonts w:ascii="Calibri" w:hAnsi="Calibri" w:cs="Calibri"/>
                <w:color w:val="000000"/>
                <w:sz w:val="22"/>
                <w:szCs w:val="22"/>
              </w:rPr>
              <w:t xml:space="preserve"> </w:t>
            </w:r>
            <w:r>
              <w:rPr>
                <w:rFonts w:ascii="Calibri" w:hAnsi="Calibri" w:cs="Calibri"/>
                <w:color w:val="000000"/>
                <w:sz w:val="22"/>
                <w:szCs w:val="22"/>
              </w:rPr>
              <w:t>Battery</w:t>
            </w:r>
          </w:p>
        </w:tc>
        <w:tc>
          <w:tcPr>
            <w:tcW w:w="0" w:type="auto"/>
            <w:shd w:val="clear" w:color="auto" w:fill="auto"/>
            <w:noWrap/>
            <w:vAlign w:val="bottom"/>
            <w:hideMark/>
          </w:tcPr>
          <w:p w14:paraId="15D712BB" w14:textId="410ACA02"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24</w:t>
            </w:r>
            <w:r w:rsidR="00984730">
              <w:rPr>
                <w:rFonts w:ascii="Calibri" w:hAnsi="Calibri" w:cs="Calibri"/>
                <w:color w:val="000000"/>
                <w:sz w:val="22"/>
                <w:szCs w:val="22"/>
              </w:rPr>
              <w:t>.4</w:t>
            </w:r>
          </w:p>
        </w:tc>
        <w:tc>
          <w:tcPr>
            <w:tcW w:w="0" w:type="auto"/>
            <w:shd w:val="clear" w:color="auto" w:fill="auto"/>
            <w:noWrap/>
            <w:vAlign w:val="bottom"/>
            <w:hideMark/>
          </w:tcPr>
          <w:p w14:paraId="76F648E0" w14:textId="37D245BE"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$11,387</w:t>
            </w:r>
          </w:p>
        </w:tc>
        <w:tc>
          <w:tcPr>
            <w:tcW w:w="0" w:type="auto"/>
            <w:shd w:val="clear" w:color="auto" w:fill="auto"/>
            <w:noWrap/>
            <w:vAlign w:val="bottom"/>
            <w:hideMark/>
          </w:tcPr>
          <w:p w14:paraId="6156BB60" w14:textId="77777777" w:rsidR="007B3217" w:rsidRDefault="007B3217" w:rsidP="006323CC">
            <w:pPr>
              <w:jc w:val="right"/>
              <w:rPr>
                <w:rFonts w:ascii="Calibri" w:hAnsi="Calibri" w:cs="Calibri"/>
                <w:color w:val="000000"/>
                <w:sz w:val="22"/>
                <w:szCs w:val="22"/>
              </w:rPr>
            </w:pPr>
            <w:r>
              <w:rPr>
                <w:rFonts w:ascii="Calibri" w:hAnsi="Calibri" w:cs="Calibri"/>
                <w:color w:val="000000"/>
                <w:sz w:val="22"/>
                <w:szCs w:val="22"/>
              </w:rPr>
              <w:t>76%</w:t>
            </w:r>
          </w:p>
        </w:tc>
      </w:tr>
      <w:tr w:rsidR="007B3217" w14:paraId="3E961834" w14:textId="77777777" w:rsidTr="00641D95">
        <w:trPr>
          <w:trHeight w:val="300"/>
        </w:trPr>
        <w:tc>
          <w:tcPr>
            <w:tcW w:w="0" w:type="auto"/>
            <w:gridSpan w:val="2"/>
            <w:shd w:val="clear" w:color="auto" w:fill="auto"/>
            <w:noWrap/>
            <w:vAlign w:val="bottom"/>
            <w:hideMark/>
          </w:tcPr>
          <w:p w14:paraId="79F75352" w14:textId="0BCF96A8" w:rsidR="007B3217" w:rsidRDefault="007B3217">
            <w:pPr>
              <w:rPr>
                <w:rFonts w:ascii="Calibri" w:hAnsi="Calibri" w:cs="Calibri"/>
                <w:b/>
                <w:bCs/>
                <w:color w:val="000000"/>
                <w:sz w:val="22"/>
                <w:szCs w:val="22"/>
              </w:rPr>
            </w:pPr>
            <w:r>
              <w:rPr>
                <w:rFonts w:ascii="Calibri" w:hAnsi="Calibri" w:cs="Calibri"/>
                <w:b/>
                <w:bCs/>
                <w:color w:val="000000"/>
                <w:sz w:val="22"/>
                <w:szCs w:val="22"/>
              </w:rPr>
              <w:t>Margin</w:t>
            </w:r>
            <w:r w:rsidR="00AE0DD1">
              <w:rPr>
                <w:rFonts w:ascii="Calibri" w:hAnsi="Calibri" w:cs="Calibri"/>
                <w:b/>
                <w:bCs/>
                <w:color w:val="000000"/>
                <w:sz w:val="22"/>
                <w:szCs w:val="22"/>
              </w:rPr>
              <w:t xml:space="preserve"> </w:t>
            </w:r>
            <w:r>
              <w:rPr>
                <w:rFonts w:ascii="Calibri" w:hAnsi="Calibri" w:cs="Calibri"/>
                <w:b/>
                <w:bCs/>
                <w:color w:val="000000"/>
                <w:sz w:val="22"/>
                <w:szCs w:val="22"/>
              </w:rPr>
              <w:t>Maximum</w:t>
            </w:r>
          </w:p>
        </w:tc>
        <w:tc>
          <w:tcPr>
            <w:tcW w:w="0" w:type="auto"/>
            <w:shd w:val="clear" w:color="auto" w:fill="auto"/>
            <w:noWrap/>
            <w:vAlign w:val="bottom"/>
            <w:hideMark/>
          </w:tcPr>
          <w:p w14:paraId="20446A40" w14:textId="1DD7870E" w:rsidR="007B3217" w:rsidRDefault="007B3217" w:rsidP="006323CC">
            <w:pPr>
              <w:jc w:val="right"/>
              <w:rPr>
                <w:rFonts w:ascii="Calibri" w:hAnsi="Calibri" w:cs="Calibri"/>
                <w:b/>
                <w:bCs/>
                <w:color w:val="000000"/>
                <w:sz w:val="22"/>
                <w:szCs w:val="22"/>
              </w:rPr>
            </w:pPr>
            <w:r>
              <w:rPr>
                <w:rFonts w:ascii="Calibri" w:hAnsi="Calibri" w:cs="Calibri"/>
                <w:b/>
                <w:bCs/>
                <w:color w:val="000000"/>
                <w:sz w:val="22"/>
                <w:szCs w:val="22"/>
              </w:rPr>
              <w:t>16</w:t>
            </w:r>
            <w:r w:rsidR="00984730">
              <w:rPr>
                <w:rFonts w:ascii="Calibri" w:hAnsi="Calibri" w:cs="Calibri"/>
                <w:b/>
                <w:bCs/>
                <w:color w:val="000000"/>
                <w:sz w:val="22"/>
                <w:szCs w:val="22"/>
              </w:rPr>
              <w:t>.7</w:t>
            </w:r>
          </w:p>
        </w:tc>
        <w:tc>
          <w:tcPr>
            <w:tcW w:w="0" w:type="auto"/>
            <w:shd w:val="clear" w:color="auto" w:fill="auto"/>
            <w:noWrap/>
            <w:vAlign w:val="bottom"/>
            <w:hideMark/>
          </w:tcPr>
          <w:p w14:paraId="7BACDDA8" w14:textId="77777777" w:rsidR="007B3217" w:rsidRDefault="007B3217" w:rsidP="006323CC">
            <w:pPr>
              <w:jc w:val="right"/>
              <w:rPr>
                <w:rFonts w:ascii="Calibri" w:hAnsi="Calibri" w:cs="Calibri"/>
                <w:b/>
                <w:bCs/>
                <w:color w:val="000000"/>
                <w:sz w:val="22"/>
                <w:szCs w:val="22"/>
              </w:rPr>
            </w:pPr>
          </w:p>
        </w:tc>
        <w:tc>
          <w:tcPr>
            <w:tcW w:w="0" w:type="auto"/>
            <w:shd w:val="clear" w:color="auto" w:fill="auto"/>
            <w:noWrap/>
            <w:vAlign w:val="bottom"/>
            <w:hideMark/>
          </w:tcPr>
          <w:p w14:paraId="31C07004" w14:textId="77777777" w:rsidR="007B3217" w:rsidRDefault="007B3217" w:rsidP="006323CC">
            <w:pPr>
              <w:jc w:val="right"/>
              <w:rPr>
                <w:sz w:val="20"/>
                <w:szCs w:val="20"/>
              </w:rPr>
            </w:pPr>
          </w:p>
        </w:tc>
      </w:tr>
      <w:tr w:rsidR="007B3217" w14:paraId="3D210749" w14:textId="77777777" w:rsidTr="00641D95">
        <w:trPr>
          <w:trHeight w:val="300"/>
        </w:trPr>
        <w:tc>
          <w:tcPr>
            <w:tcW w:w="0" w:type="auto"/>
            <w:gridSpan w:val="2"/>
            <w:shd w:val="clear" w:color="auto" w:fill="auto"/>
            <w:noWrap/>
            <w:vAlign w:val="bottom"/>
            <w:hideMark/>
          </w:tcPr>
          <w:p w14:paraId="1F2B590F" w14:textId="48574CAA" w:rsidR="007B3217" w:rsidRDefault="007B3217">
            <w:pPr>
              <w:rPr>
                <w:rFonts w:ascii="Calibri" w:hAnsi="Calibri" w:cs="Calibri"/>
                <w:b/>
                <w:bCs/>
                <w:color w:val="000000"/>
                <w:sz w:val="22"/>
                <w:szCs w:val="22"/>
              </w:rPr>
            </w:pPr>
            <w:r>
              <w:rPr>
                <w:rFonts w:ascii="Calibri" w:hAnsi="Calibri" w:cs="Calibri"/>
                <w:b/>
                <w:bCs/>
                <w:color w:val="000000"/>
                <w:sz w:val="22"/>
                <w:szCs w:val="22"/>
              </w:rPr>
              <w:t>Reasonable</w:t>
            </w:r>
            <w:r w:rsidR="00AE0DD1">
              <w:rPr>
                <w:rFonts w:ascii="Calibri" w:hAnsi="Calibri" w:cs="Calibri"/>
                <w:b/>
                <w:bCs/>
                <w:color w:val="000000"/>
                <w:sz w:val="22"/>
                <w:szCs w:val="22"/>
              </w:rPr>
              <w:t xml:space="preserve"> </w:t>
            </w:r>
            <w:r>
              <w:rPr>
                <w:rFonts w:ascii="Calibri" w:hAnsi="Calibri" w:cs="Calibri"/>
                <w:b/>
                <w:bCs/>
                <w:color w:val="000000"/>
                <w:sz w:val="22"/>
                <w:szCs w:val="22"/>
              </w:rPr>
              <w:t>Margin</w:t>
            </w:r>
          </w:p>
        </w:tc>
        <w:tc>
          <w:tcPr>
            <w:tcW w:w="0" w:type="auto"/>
            <w:shd w:val="clear" w:color="auto" w:fill="auto"/>
            <w:noWrap/>
            <w:vAlign w:val="bottom"/>
            <w:hideMark/>
          </w:tcPr>
          <w:p w14:paraId="5D0469F1" w14:textId="17F430EA" w:rsidR="007B3217" w:rsidRDefault="007B3217" w:rsidP="006323CC">
            <w:pPr>
              <w:jc w:val="right"/>
              <w:rPr>
                <w:rFonts w:ascii="Calibri" w:hAnsi="Calibri" w:cs="Calibri"/>
                <w:b/>
                <w:bCs/>
                <w:color w:val="000000"/>
                <w:sz w:val="22"/>
                <w:szCs w:val="22"/>
              </w:rPr>
            </w:pPr>
            <w:r>
              <w:rPr>
                <w:rFonts w:ascii="Calibri" w:hAnsi="Calibri" w:cs="Calibri"/>
                <w:b/>
                <w:bCs/>
                <w:color w:val="000000"/>
                <w:sz w:val="22"/>
                <w:szCs w:val="22"/>
              </w:rPr>
              <w:t>6.6</w:t>
            </w:r>
          </w:p>
        </w:tc>
        <w:tc>
          <w:tcPr>
            <w:tcW w:w="0" w:type="auto"/>
            <w:shd w:val="clear" w:color="auto" w:fill="auto"/>
            <w:noWrap/>
            <w:vAlign w:val="bottom"/>
            <w:hideMark/>
          </w:tcPr>
          <w:p w14:paraId="0D61260F" w14:textId="77777777" w:rsidR="007B3217" w:rsidRDefault="007B3217" w:rsidP="006323CC">
            <w:pPr>
              <w:jc w:val="right"/>
              <w:rPr>
                <w:rFonts w:ascii="Calibri" w:hAnsi="Calibri" w:cs="Calibri"/>
                <w:b/>
                <w:bCs/>
                <w:color w:val="000000"/>
                <w:sz w:val="22"/>
                <w:szCs w:val="22"/>
              </w:rPr>
            </w:pPr>
          </w:p>
        </w:tc>
        <w:tc>
          <w:tcPr>
            <w:tcW w:w="0" w:type="auto"/>
            <w:shd w:val="clear" w:color="auto" w:fill="auto"/>
            <w:noWrap/>
            <w:vAlign w:val="bottom"/>
            <w:hideMark/>
          </w:tcPr>
          <w:p w14:paraId="62FDC951" w14:textId="77777777" w:rsidR="007B3217" w:rsidRDefault="007B3217" w:rsidP="006323CC">
            <w:pPr>
              <w:jc w:val="right"/>
              <w:rPr>
                <w:sz w:val="20"/>
                <w:szCs w:val="20"/>
              </w:rPr>
            </w:pPr>
          </w:p>
        </w:tc>
      </w:tr>
    </w:tbl>
    <w:p w14:paraId="76B8C783" w14:textId="1FB7DE4E" w:rsidR="000639DA" w:rsidRDefault="007B3217">
      <w:pPr>
        <w:spacing w:after="160" w:line="259" w:lineRule="auto"/>
        <w:rPr>
          <w:rFonts w:asciiTheme="minorHAnsi" w:hAnsiTheme="minorHAnsi" w:cstheme="minorHAnsi"/>
        </w:rPr>
      </w:pPr>
      <w:r>
        <w:rPr>
          <w:rFonts w:asciiTheme="minorHAnsi" w:hAnsiTheme="minorHAnsi" w:cstheme="minorHAnsi"/>
        </w:rPr>
        <w:t xml:space="preserve"> </w:t>
      </w:r>
    </w:p>
    <w:p w14:paraId="7773E481" w14:textId="538BE2F1" w:rsidR="00933AFF" w:rsidRPr="00E33CFF" w:rsidRDefault="002106F2" w:rsidP="00D7701D">
      <w:pPr>
        <w:spacing w:after="120"/>
        <w:jc w:val="center"/>
        <w:rPr>
          <w:rFonts w:asciiTheme="minorHAnsi" w:hAnsiTheme="minorHAnsi" w:cstheme="minorHAnsi"/>
          <w:color w:val="3D728A"/>
          <w:sz w:val="28"/>
          <w:szCs w:val="28"/>
        </w:rPr>
      </w:pPr>
      <w:r w:rsidRPr="00E33CFF">
        <w:rPr>
          <w:rFonts w:asciiTheme="minorHAnsi" w:hAnsiTheme="minorHAnsi" w:cstheme="minorHAnsi"/>
          <w:b/>
          <w:color w:val="3D728A"/>
          <w:sz w:val="28"/>
          <w:szCs w:val="28"/>
        </w:rPr>
        <w:lastRenderedPageBreak/>
        <w:t>Figure 2: ADU Design Types, Margins and Costs – Climate Zone 12</w:t>
      </w:r>
    </w:p>
    <w:p w14:paraId="7A850A5A" w14:textId="7E003909" w:rsidR="00A46897" w:rsidRPr="00B1461C" w:rsidRDefault="00933AFF" w:rsidP="00687E0B">
      <w:pPr>
        <w:keepNext/>
        <w:spacing w:after="60"/>
        <w:jc w:val="center"/>
        <w:rPr>
          <w:rFonts w:asciiTheme="minorHAnsi" w:hAnsiTheme="minorHAnsi" w:cstheme="minorHAnsi"/>
          <w:b/>
          <w:color w:val="336175"/>
        </w:rPr>
      </w:pPr>
      <w:r>
        <w:rPr>
          <w:noProof/>
        </w:rPr>
        <w:drawing>
          <wp:inline distT="0" distB="0" distL="0" distR="0" wp14:anchorId="2EA01DFD" wp14:editId="624F4427">
            <wp:extent cx="5935980" cy="3251200"/>
            <wp:effectExtent l="0" t="0" r="7620" b="6350"/>
            <wp:docPr id="278743555" name="Chart 1" descr="Graph depicting Climate Zone 12 results: EDR1 compliance margin and initial costs for an all-electric and mixed fuel 625 square foot ADU.">
              <a:extLst xmlns:a="http://schemas.openxmlformats.org/drawingml/2006/main">
                <a:ext uri="{FF2B5EF4-FFF2-40B4-BE49-F238E27FC236}">
                  <a16:creationId xmlns:a16="http://schemas.microsoft.com/office/drawing/2014/main" id="{C11B8C3A-0191-E342-B37F-51106A602F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8478A96" w14:textId="77777777" w:rsidR="007116BD" w:rsidRPr="00DA6592" w:rsidRDefault="007116BD" w:rsidP="00887E62">
      <w:pPr>
        <w:rPr>
          <w:rFonts w:asciiTheme="minorHAnsi" w:hAnsiTheme="minorHAnsi" w:cstheme="minorHAnsi"/>
        </w:rPr>
      </w:pPr>
    </w:p>
    <w:p w14:paraId="1FE94D48" w14:textId="114D6CFF" w:rsidR="00EE754A" w:rsidRPr="00DA6592" w:rsidRDefault="008E42A5" w:rsidP="00887E62">
      <w:pPr>
        <w:rPr>
          <w:rFonts w:asciiTheme="minorHAnsi" w:hAnsiTheme="minorHAnsi" w:cstheme="minorBidi"/>
        </w:rPr>
      </w:pPr>
      <w:r w:rsidRPr="623E5710">
        <w:rPr>
          <w:rFonts w:asciiTheme="minorHAnsi" w:hAnsiTheme="minorHAnsi" w:cstheme="minorBidi"/>
        </w:rPr>
        <w:t>In the case of low-rise multifamily buildings</w:t>
      </w:r>
      <w:r w:rsidR="0088787B" w:rsidRPr="623E5710">
        <w:rPr>
          <w:rFonts w:asciiTheme="minorHAnsi" w:hAnsiTheme="minorHAnsi" w:cstheme="minorBidi"/>
        </w:rPr>
        <w:t xml:space="preserve"> in Climate Zone 12 (</w:t>
      </w:r>
      <w:r w:rsidRPr="623E5710">
        <w:rPr>
          <w:rFonts w:asciiTheme="minorHAnsi" w:hAnsiTheme="minorHAnsi" w:cstheme="minorBidi"/>
        </w:rPr>
        <w:t xml:space="preserve">Table </w:t>
      </w:r>
      <w:r w:rsidR="0088787B" w:rsidRPr="623E5710">
        <w:rPr>
          <w:rFonts w:asciiTheme="minorHAnsi" w:hAnsiTheme="minorHAnsi" w:cstheme="minorBidi"/>
        </w:rPr>
        <w:t>3)</w:t>
      </w:r>
      <w:r w:rsidRPr="623E5710">
        <w:rPr>
          <w:rFonts w:asciiTheme="minorHAnsi" w:hAnsiTheme="minorHAnsi" w:cstheme="minorBidi"/>
        </w:rPr>
        <w:t xml:space="preserve">, </w:t>
      </w:r>
      <w:r w:rsidR="0088787B" w:rsidRPr="623E5710">
        <w:rPr>
          <w:rFonts w:asciiTheme="minorHAnsi" w:hAnsiTheme="minorHAnsi" w:cstheme="minorBidi"/>
        </w:rPr>
        <w:t>at a</w:t>
      </w:r>
      <w:r w:rsidR="003D1F00" w:rsidRPr="623E5710">
        <w:rPr>
          <w:rFonts w:asciiTheme="minorHAnsi" w:hAnsiTheme="minorHAnsi" w:cstheme="minorBidi"/>
        </w:rPr>
        <w:t>n</w:t>
      </w:r>
      <w:r w:rsidR="0088787B" w:rsidRPr="623E5710">
        <w:rPr>
          <w:rFonts w:asciiTheme="minorHAnsi" w:hAnsiTheme="minorHAnsi" w:cstheme="minorBidi"/>
        </w:rPr>
        <w:t xml:space="preserve"> 1</w:t>
      </w:r>
      <w:r w:rsidR="002F51F0" w:rsidRPr="623E5710">
        <w:rPr>
          <w:rFonts w:asciiTheme="minorHAnsi" w:hAnsiTheme="minorHAnsi" w:cstheme="minorBidi"/>
        </w:rPr>
        <w:t>1</w:t>
      </w:r>
      <w:r w:rsidR="0088787B" w:rsidRPr="623E5710">
        <w:rPr>
          <w:rFonts w:asciiTheme="minorHAnsi" w:hAnsiTheme="minorHAnsi" w:cstheme="minorBidi"/>
        </w:rPr>
        <w:t xml:space="preserve">% </w:t>
      </w:r>
      <w:r w:rsidR="08235575" w:rsidRPr="623E5710">
        <w:rPr>
          <w:rFonts w:asciiTheme="minorHAnsi" w:hAnsiTheme="minorHAnsi" w:cstheme="minorBidi"/>
        </w:rPr>
        <w:t>Source Energy M</w:t>
      </w:r>
      <w:r w:rsidR="0088787B" w:rsidRPr="623E5710">
        <w:rPr>
          <w:rFonts w:asciiTheme="minorHAnsi" w:hAnsiTheme="minorHAnsi" w:cstheme="minorBidi"/>
        </w:rPr>
        <w:t xml:space="preserve">argin a typical all-electric multifamily building could comply with no other measures than are already required under the State Code. </w:t>
      </w:r>
      <w:r w:rsidR="00C545BC" w:rsidRPr="623E5710">
        <w:rPr>
          <w:rFonts w:asciiTheme="minorHAnsi" w:hAnsiTheme="minorHAnsi" w:cstheme="minorBidi"/>
        </w:rPr>
        <w:t>A mixed-fuel building would need to install some combination of additional efficiency measures, additional solar PV and/or battery storage. The incremental initial capital cost of a</w:t>
      </w:r>
      <w:r w:rsidR="00F34CF9" w:rsidRPr="623E5710">
        <w:rPr>
          <w:rFonts w:asciiTheme="minorHAnsi" w:hAnsiTheme="minorHAnsi" w:cstheme="minorBidi"/>
        </w:rPr>
        <w:t xml:space="preserve"> building with </w:t>
      </w:r>
      <w:r w:rsidR="00C545BC" w:rsidRPr="623E5710">
        <w:rPr>
          <w:rFonts w:asciiTheme="minorHAnsi" w:hAnsiTheme="minorHAnsi" w:cstheme="minorBidi"/>
        </w:rPr>
        <w:t>all-electric dwelling unit</w:t>
      </w:r>
      <w:r w:rsidR="00F34CF9" w:rsidRPr="623E5710">
        <w:rPr>
          <w:rFonts w:asciiTheme="minorHAnsi" w:hAnsiTheme="minorHAnsi" w:cstheme="minorBidi"/>
        </w:rPr>
        <w:t>s</w:t>
      </w:r>
      <w:r w:rsidR="00C545BC" w:rsidRPr="623E5710">
        <w:rPr>
          <w:rFonts w:asciiTheme="minorHAnsi" w:hAnsiTheme="minorHAnsi" w:cstheme="minorBidi"/>
        </w:rPr>
        <w:t xml:space="preserve"> would be about $</w:t>
      </w:r>
      <w:r w:rsidR="00EE754A" w:rsidRPr="623E5710">
        <w:rPr>
          <w:rFonts w:asciiTheme="minorHAnsi" w:hAnsiTheme="minorHAnsi" w:cstheme="minorBidi"/>
        </w:rPr>
        <w:t>450</w:t>
      </w:r>
      <w:r w:rsidR="00C545BC" w:rsidRPr="623E5710">
        <w:rPr>
          <w:rFonts w:asciiTheme="minorHAnsi" w:hAnsiTheme="minorHAnsi" w:cstheme="minorBidi"/>
        </w:rPr>
        <w:t xml:space="preserve"> </w:t>
      </w:r>
      <w:r w:rsidR="00F34CF9" w:rsidRPr="623E5710">
        <w:rPr>
          <w:rFonts w:asciiTheme="minorHAnsi" w:hAnsiTheme="minorHAnsi" w:cstheme="minorBidi"/>
        </w:rPr>
        <w:t xml:space="preserve">per dwelling unit </w:t>
      </w:r>
      <w:r w:rsidR="00C545BC" w:rsidRPr="623E5710">
        <w:rPr>
          <w:rFonts w:asciiTheme="minorHAnsi" w:hAnsiTheme="minorHAnsi" w:cstheme="minorBidi"/>
        </w:rPr>
        <w:t xml:space="preserve">more than the cost of a mixed-fuel unit that is minimally compliant with the State Code. A </w:t>
      </w:r>
      <w:r w:rsidR="00813379" w:rsidRPr="623E5710">
        <w:rPr>
          <w:rFonts w:asciiTheme="minorHAnsi" w:hAnsiTheme="minorHAnsi" w:cstheme="minorBidi"/>
        </w:rPr>
        <w:t>reach code-</w:t>
      </w:r>
      <w:r w:rsidR="00C545BC" w:rsidRPr="623E5710">
        <w:rPr>
          <w:rFonts w:asciiTheme="minorHAnsi" w:hAnsiTheme="minorHAnsi" w:cstheme="minorBidi"/>
        </w:rPr>
        <w:t>compliant mixed-fuel unit would cost considerably more</w:t>
      </w:r>
      <w:r w:rsidR="74CD9DFF" w:rsidRPr="623E5710">
        <w:rPr>
          <w:rFonts w:asciiTheme="minorHAnsi" w:hAnsiTheme="minorHAnsi" w:cstheme="minorBidi"/>
        </w:rPr>
        <w:t xml:space="preserve"> (approximately $3,900 per dwelling unit)</w:t>
      </w:r>
      <w:r w:rsidR="00C545BC" w:rsidRPr="623E5710">
        <w:rPr>
          <w:rFonts w:asciiTheme="minorHAnsi" w:hAnsiTheme="minorHAnsi" w:cstheme="minorBidi"/>
        </w:rPr>
        <w:t xml:space="preserve">. </w:t>
      </w:r>
    </w:p>
    <w:p w14:paraId="301C4130" w14:textId="77777777" w:rsidR="00EE754A" w:rsidRPr="00DA6592" w:rsidRDefault="00EE754A" w:rsidP="00887E62">
      <w:pPr>
        <w:rPr>
          <w:rFonts w:asciiTheme="minorHAnsi" w:hAnsiTheme="minorHAnsi" w:cstheme="minorHAnsi"/>
        </w:rPr>
      </w:pPr>
    </w:p>
    <w:p w14:paraId="5B8112AB" w14:textId="704196B9" w:rsidR="00EE754A" w:rsidRPr="00DA6592" w:rsidRDefault="00EE754A" w:rsidP="00EE754A">
      <w:pPr>
        <w:rPr>
          <w:rFonts w:asciiTheme="minorHAnsi" w:eastAsia="MS Mincho" w:hAnsiTheme="minorHAnsi" w:cstheme="minorHAnsi"/>
          <w:shd w:val="clear" w:color="auto" w:fill="FFFFFF"/>
        </w:rPr>
      </w:pPr>
      <w:r w:rsidRPr="00DA6592">
        <w:rPr>
          <w:rFonts w:asciiTheme="minorHAnsi" w:hAnsiTheme="minorHAnsi" w:cstheme="minorHAnsi"/>
        </w:rPr>
        <w:t>GHG reductions for the typical all-electric</w:t>
      </w:r>
      <w:r w:rsidR="00C545BC" w:rsidRPr="00DA6592">
        <w:rPr>
          <w:rFonts w:asciiTheme="minorHAnsi" w:hAnsiTheme="minorHAnsi" w:cstheme="minorHAnsi"/>
        </w:rPr>
        <w:t xml:space="preserve"> building </w:t>
      </w:r>
      <w:r w:rsidRPr="00DA6592">
        <w:rPr>
          <w:rFonts w:asciiTheme="minorHAnsi" w:hAnsiTheme="minorHAnsi" w:cstheme="minorHAnsi"/>
        </w:rPr>
        <w:t xml:space="preserve">are estimated to be 35% with the standard electricity mix and would approach 100% with a zero-carbon electricity supply. An emission reduction of up to 21% could be expected for mixed-fuel homes with the standard electricity mix, and a somewhat greater reduction is expected with a </w:t>
      </w:r>
      <w:r w:rsidR="00FE1206">
        <w:rPr>
          <w:rFonts w:asciiTheme="minorHAnsi" w:hAnsiTheme="minorHAnsi" w:cstheme="minorHAnsi"/>
        </w:rPr>
        <w:t>low-carbon</w:t>
      </w:r>
      <w:r w:rsidRPr="00DA6592">
        <w:rPr>
          <w:rFonts w:asciiTheme="minorHAnsi" w:hAnsiTheme="minorHAnsi" w:cstheme="minorHAnsi"/>
        </w:rPr>
        <w:t xml:space="preserve"> electricity mix.</w:t>
      </w:r>
    </w:p>
    <w:p w14:paraId="35C2B419" w14:textId="77777777" w:rsidR="00EE754A" w:rsidRPr="00DA6592" w:rsidRDefault="00EE754A" w:rsidP="00887E62">
      <w:pPr>
        <w:rPr>
          <w:rFonts w:asciiTheme="minorHAnsi" w:hAnsiTheme="minorHAnsi" w:cstheme="minorHAnsi"/>
        </w:rPr>
      </w:pPr>
    </w:p>
    <w:p w14:paraId="740C1EAB" w14:textId="29B6C7A2" w:rsidR="00431C06" w:rsidRPr="00E33CFF" w:rsidRDefault="00A46897" w:rsidP="00894524">
      <w:pPr>
        <w:keepNext/>
        <w:spacing w:after="60"/>
        <w:rPr>
          <w:rFonts w:asciiTheme="minorHAnsi" w:hAnsiTheme="minorHAnsi" w:cstheme="minorHAnsi"/>
          <w:b/>
          <w:color w:val="3D728A"/>
          <w:sz w:val="28"/>
          <w:szCs w:val="28"/>
        </w:rPr>
      </w:pPr>
      <w:r w:rsidRPr="00E33CFF">
        <w:rPr>
          <w:rFonts w:asciiTheme="minorHAnsi" w:hAnsiTheme="minorHAnsi" w:cstheme="minorHAnsi"/>
          <w:b/>
          <w:color w:val="3D728A"/>
          <w:sz w:val="28"/>
          <w:szCs w:val="28"/>
        </w:rPr>
        <w:t xml:space="preserve">Table </w:t>
      </w:r>
      <w:r w:rsidR="00D12C3A" w:rsidRPr="00E33CFF">
        <w:rPr>
          <w:rFonts w:asciiTheme="minorHAnsi" w:hAnsiTheme="minorHAnsi" w:cstheme="minorHAnsi"/>
          <w:b/>
          <w:bCs/>
          <w:color w:val="3D728A"/>
          <w:sz w:val="28"/>
          <w:szCs w:val="28"/>
        </w:rPr>
        <w:t>3</w:t>
      </w:r>
      <w:r w:rsidRPr="00E33CFF">
        <w:rPr>
          <w:rFonts w:asciiTheme="minorHAnsi" w:hAnsiTheme="minorHAnsi" w:cstheme="minorHAnsi"/>
          <w:b/>
          <w:color w:val="3D728A"/>
          <w:sz w:val="28"/>
          <w:szCs w:val="28"/>
        </w:rPr>
        <w:t>: Multifamily Design</w:t>
      </w:r>
      <w:r w:rsidR="00F47970" w:rsidRPr="00E33CFF">
        <w:rPr>
          <w:rFonts w:asciiTheme="minorHAnsi" w:hAnsiTheme="minorHAnsi" w:cstheme="minorHAnsi"/>
          <w:b/>
          <w:color w:val="3D728A"/>
          <w:sz w:val="28"/>
          <w:szCs w:val="28"/>
        </w:rPr>
        <w:t xml:space="preserve"> Type</w:t>
      </w:r>
      <w:r w:rsidRPr="00E33CFF">
        <w:rPr>
          <w:rFonts w:asciiTheme="minorHAnsi" w:hAnsiTheme="minorHAnsi" w:cstheme="minorHAnsi"/>
          <w:b/>
          <w:color w:val="3D728A"/>
          <w:sz w:val="28"/>
          <w:szCs w:val="28"/>
        </w:rPr>
        <w:t>s and Margins</w:t>
      </w:r>
      <w:r w:rsidR="0088787B" w:rsidRPr="00E33CFF">
        <w:rPr>
          <w:rFonts w:asciiTheme="minorHAnsi" w:hAnsiTheme="minorHAnsi" w:cstheme="minorHAnsi"/>
          <w:b/>
          <w:color w:val="3D728A"/>
          <w:sz w:val="28"/>
          <w:szCs w:val="28"/>
        </w:rPr>
        <w:t xml:space="preserve"> – Climate Zone 12</w:t>
      </w:r>
    </w:p>
    <w:tbl>
      <w:tblPr>
        <w:tblW w:w="9175" w:type="dxa"/>
        <w:tblLook w:val="04A0" w:firstRow="1" w:lastRow="0" w:firstColumn="1" w:lastColumn="0" w:noHBand="0" w:noVBand="1"/>
      </w:tblPr>
      <w:tblGrid>
        <w:gridCol w:w="1774"/>
        <w:gridCol w:w="2857"/>
        <w:gridCol w:w="1664"/>
        <w:gridCol w:w="1620"/>
        <w:gridCol w:w="1260"/>
      </w:tblGrid>
      <w:tr w:rsidR="00C83EE6" w14:paraId="400C2AC0" w14:textId="77777777" w:rsidTr="006E07AE">
        <w:tc>
          <w:tcPr>
            <w:tcW w:w="17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985CAA" w14:textId="77777777" w:rsidR="00C83EE6" w:rsidRDefault="00C83EE6" w:rsidP="006E07AE">
            <w:pPr>
              <w:rPr>
                <w:rFonts w:ascii="Calibri" w:hAnsi="Calibri" w:cs="Calibri"/>
                <w:b/>
                <w:bCs/>
                <w:color w:val="000000"/>
                <w:sz w:val="22"/>
                <w:szCs w:val="22"/>
              </w:rPr>
            </w:pPr>
            <w:r>
              <w:rPr>
                <w:rFonts w:ascii="Calibri" w:hAnsi="Calibri" w:cs="Calibri"/>
                <w:b/>
                <w:bCs/>
                <w:color w:val="000000"/>
                <w:sz w:val="22"/>
                <w:szCs w:val="22"/>
              </w:rPr>
              <w:t>Fuel</w:t>
            </w:r>
          </w:p>
        </w:tc>
        <w:tc>
          <w:tcPr>
            <w:tcW w:w="2857" w:type="dxa"/>
            <w:tcBorders>
              <w:top w:val="single" w:sz="4" w:space="0" w:color="auto"/>
              <w:left w:val="nil"/>
              <w:bottom w:val="single" w:sz="4" w:space="0" w:color="auto"/>
              <w:right w:val="single" w:sz="4" w:space="0" w:color="auto"/>
            </w:tcBorders>
            <w:shd w:val="clear" w:color="auto" w:fill="auto"/>
            <w:vAlign w:val="center"/>
            <w:hideMark/>
          </w:tcPr>
          <w:p w14:paraId="6E279EA0" w14:textId="77777777" w:rsidR="00C83EE6" w:rsidRDefault="00C83EE6" w:rsidP="006E07AE">
            <w:pPr>
              <w:rPr>
                <w:rFonts w:ascii="Calibri" w:hAnsi="Calibri" w:cs="Calibri"/>
                <w:b/>
                <w:bCs/>
                <w:color w:val="000000"/>
                <w:sz w:val="22"/>
                <w:szCs w:val="22"/>
              </w:rPr>
            </w:pPr>
            <w:r>
              <w:rPr>
                <w:rFonts w:ascii="Calibri" w:hAnsi="Calibri" w:cs="Calibri"/>
                <w:b/>
                <w:bCs/>
                <w:color w:val="000000"/>
                <w:sz w:val="22"/>
                <w:szCs w:val="22"/>
              </w:rPr>
              <w:t>Design Type</w:t>
            </w:r>
          </w:p>
        </w:tc>
        <w:tc>
          <w:tcPr>
            <w:tcW w:w="1664" w:type="dxa"/>
            <w:tcBorders>
              <w:top w:val="single" w:sz="4" w:space="0" w:color="auto"/>
              <w:left w:val="nil"/>
              <w:bottom w:val="single" w:sz="4" w:space="0" w:color="auto"/>
              <w:right w:val="single" w:sz="4" w:space="0" w:color="auto"/>
            </w:tcBorders>
            <w:shd w:val="clear" w:color="auto" w:fill="auto"/>
            <w:vAlign w:val="center"/>
            <w:hideMark/>
          </w:tcPr>
          <w:p w14:paraId="00FD5B29" w14:textId="77777777" w:rsidR="00C83EE6" w:rsidRDefault="00C83EE6" w:rsidP="006E07AE">
            <w:pPr>
              <w:jc w:val="center"/>
              <w:rPr>
                <w:rFonts w:ascii="Calibri" w:hAnsi="Calibri" w:cs="Calibri"/>
                <w:b/>
                <w:bCs/>
                <w:color w:val="000000"/>
                <w:sz w:val="22"/>
                <w:szCs w:val="22"/>
              </w:rPr>
            </w:pPr>
            <w:r>
              <w:rPr>
                <w:rFonts w:ascii="Calibri" w:hAnsi="Calibri" w:cs="Calibri"/>
                <w:b/>
                <w:bCs/>
                <w:color w:val="000000"/>
                <w:sz w:val="22"/>
                <w:szCs w:val="22"/>
              </w:rPr>
              <w:t>Source Energy Margin</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14:paraId="129EF11D" w14:textId="79695183" w:rsidR="00C83EE6" w:rsidRDefault="006E07AE" w:rsidP="006E07AE">
            <w:pPr>
              <w:jc w:val="center"/>
              <w:rPr>
                <w:rFonts w:ascii="Calibri" w:hAnsi="Calibri" w:cs="Calibri"/>
                <w:b/>
                <w:bCs/>
                <w:color w:val="000000"/>
                <w:sz w:val="22"/>
                <w:szCs w:val="22"/>
              </w:rPr>
            </w:pPr>
            <w:r>
              <w:rPr>
                <w:rFonts w:ascii="Calibri" w:hAnsi="Calibri" w:cs="Calibri"/>
                <w:b/>
                <w:bCs/>
                <w:color w:val="000000"/>
                <w:sz w:val="22"/>
                <w:szCs w:val="22"/>
              </w:rPr>
              <w:t xml:space="preserve">Initial </w:t>
            </w:r>
            <w:r w:rsidR="00C83EE6">
              <w:rPr>
                <w:rFonts w:ascii="Calibri" w:hAnsi="Calibri" w:cs="Calibri"/>
                <w:b/>
                <w:bCs/>
                <w:color w:val="000000"/>
                <w:sz w:val="22"/>
                <w:szCs w:val="22"/>
              </w:rPr>
              <w:t>Capital Cost</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7694A85F" w14:textId="77777777" w:rsidR="00C83EE6" w:rsidRDefault="00C83EE6" w:rsidP="006E07AE">
            <w:pPr>
              <w:jc w:val="center"/>
              <w:rPr>
                <w:rFonts w:ascii="Calibri" w:hAnsi="Calibri" w:cs="Calibri"/>
                <w:b/>
                <w:bCs/>
                <w:color w:val="000000"/>
                <w:sz w:val="22"/>
                <w:szCs w:val="22"/>
              </w:rPr>
            </w:pPr>
            <w:r>
              <w:rPr>
                <w:rFonts w:ascii="Calibri" w:hAnsi="Calibri" w:cs="Calibri"/>
                <w:b/>
                <w:bCs/>
                <w:color w:val="000000"/>
                <w:sz w:val="22"/>
                <w:szCs w:val="22"/>
              </w:rPr>
              <w:t>GHG Reductions</w:t>
            </w:r>
          </w:p>
        </w:tc>
      </w:tr>
      <w:tr w:rsidR="00C83EE6" w14:paraId="30243725" w14:textId="77777777" w:rsidTr="006E07AE">
        <w:tc>
          <w:tcPr>
            <w:tcW w:w="1774" w:type="dxa"/>
            <w:vMerge w:val="restart"/>
            <w:tcBorders>
              <w:top w:val="nil"/>
              <w:left w:val="single" w:sz="4" w:space="0" w:color="auto"/>
              <w:bottom w:val="single" w:sz="4" w:space="0" w:color="auto"/>
              <w:right w:val="single" w:sz="4" w:space="0" w:color="auto"/>
            </w:tcBorders>
            <w:shd w:val="clear" w:color="auto" w:fill="auto"/>
            <w:hideMark/>
          </w:tcPr>
          <w:p w14:paraId="2DD0EEED" w14:textId="77777777" w:rsidR="00C83EE6" w:rsidRDefault="00C83EE6">
            <w:pPr>
              <w:rPr>
                <w:rFonts w:ascii="Calibri" w:hAnsi="Calibri" w:cs="Calibri"/>
                <w:b/>
                <w:bCs/>
                <w:color w:val="000000"/>
                <w:sz w:val="22"/>
                <w:szCs w:val="22"/>
              </w:rPr>
            </w:pPr>
            <w:r>
              <w:rPr>
                <w:rFonts w:ascii="Calibri" w:hAnsi="Calibri" w:cs="Calibri"/>
                <w:b/>
                <w:bCs/>
                <w:color w:val="000000"/>
                <w:sz w:val="22"/>
                <w:szCs w:val="22"/>
              </w:rPr>
              <w:t>Mixed-Fuel</w:t>
            </w:r>
          </w:p>
        </w:tc>
        <w:tc>
          <w:tcPr>
            <w:tcW w:w="2857" w:type="dxa"/>
            <w:tcBorders>
              <w:top w:val="nil"/>
              <w:left w:val="nil"/>
              <w:bottom w:val="single" w:sz="4" w:space="0" w:color="auto"/>
              <w:right w:val="single" w:sz="4" w:space="0" w:color="auto"/>
            </w:tcBorders>
            <w:shd w:val="clear" w:color="auto" w:fill="auto"/>
            <w:noWrap/>
            <w:hideMark/>
          </w:tcPr>
          <w:p w14:paraId="436AD882" w14:textId="77777777" w:rsidR="00C83EE6" w:rsidRDefault="00C83EE6">
            <w:pPr>
              <w:rPr>
                <w:rFonts w:ascii="Calibri" w:hAnsi="Calibri" w:cs="Calibri"/>
                <w:color w:val="000000"/>
                <w:sz w:val="22"/>
                <w:szCs w:val="22"/>
              </w:rPr>
            </w:pPr>
            <w:r>
              <w:rPr>
                <w:rFonts w:ascii="Calibri" w:hAnsi="Calibri" w:cs="Calibri"/>
                <w:color w:val="000000"/>
                <w:sz w:val="22"/>
                <w:szCs w:val="22"/>
              </w:rPr>
              <w:t>Business-As-Usual</w:t>
            </w:r>
          </w:p>
        </w:tc>
        <w:tc>
          <w:tcPr>
            <w:tcW w:w="1664" w:type="dxa"/>
            <w:tcBorders>
              <w:top w:val="nil"/>
              <w:left w:val="nil"/>
              <w:bottom w:val="single" w:sz="4" w:space="0" w:color="auto"/>
              <w:right w:val="single" w:sz="4" w:space="0" w:color="auto"/>
            </w:tcBorders>
            <w:shd w:val="clear" w:color="auto" w:fill="auto"/>
            <w:noWrap/>
            <w:hideMark/>
          </w:tcPr>
          <w:p w14:paraId="7500C7F8" w14:textId="0378CA6A" w:rsidR="00C83EE6" w:rsidRDefault="0036476D" w:rsidP="0036476D">
            <w:pPr>
              <w:jc w:val="center"/>
              <w:rPr>
                <w:rFonts w:ascii="Calibri" w:hAnsi="Calibri" w:cs="Calibri"/>
                <w:color w:val="000000"/>
                <w:sz w:val="22"/>
                <w:szCs w:val="22"/>
              </w:rPr>
            </w:pPr>
            <w:r>
              <w:rPr>
                <w:rFonts w:ascii="Calibri" w:hAnsi="Calibri" w:cs="Calibri"/>
                <w:color w:val="000000"/>
                <w:sz w:val="22"/>
                <w:szCs w:val="22"/>
              </w:rPr>
              <w:t>-</w:t>
            </w:r>
          </w:p>
        </w:tc>
        <w:tc>
          <w:tcPr>
            <w:tcW w:w="1620" w:type="dxa"/>
            <w:tcBorders>
              <w:top w:val="nil"/>
              <w:left w:val="nil"/>
              <w:bottom w:val="single" w:sz="4" w:space="0" w:color="auto"/>
              <w:right w:val="single" w:sz="4" w:space="0" w:color="auto"/>
            </w:tcBorders>
            <w:shd w:val="clear" w:color="auto" w:fill="auto"/>
            <w:noWrap/>
            <w:hideMark/>
          </w:tcPr>
          <w:p w14:paraId="3A045FA4" w14:textId="67BF15AB" w:rsidR="00C83EE6" w:rsidRDefault="0036476D" w:rsidP="0036476D">
            <w:pPr>
              <w:jc w:val="center"/>
              <w:rPr>
                <w:rFonts w:ascii="Calibri" w:hAnsi="Calibri" w:cs="Calibri"/>
                <w:color w:val="000000"/>
                <w:sz w:val="22"/>
                <w:szCs w:val="22"/>
              </w:rPr>
            </w:pPr>
            <w:r>
              <w:rPr>
                <w:rFonts w:ascii="Calibri" w:hAnsi="Calibri" w:cs="Calibri"/>
                <w:color w:val="000000"/>
                <w:sz w:val="22"/>
                <w:szCs w:val="22"/>
              </w:rPr>
              <w:t>-</w:t>
            </w:r>
          </w:p>
        </w:tc>
        <w:tc>
          <w:tcPr>
            <w:tcW w:w="1260" w:type="dxa"/>
            <w:tcBorders>
              <w:top w:val="nil"/>
              <w:left w:val="nil"/>
              <w:bottom w:val="single" w:sz="4" w:space="0" w:color="auto"/>
              <w:right w:val="single" w:sz="4" w:space="0" w:color="auto"/>
            </w:tcBorders>
            <w:shd w:val="clear" w:color="auto" w:fill="auto"/>
            <w:noWrap/>
            <w:hideMark/>
          </w:tcPr>
          <w:p w14:paraId="54D5FBA8" w14:textId="767C9E62" w:rsidR="00C83EE6" w:rsidRDefault="0036476D" w:rsidP="0036476D">
            <w:pPr>
              <w:jc w:val="center"/>
              <w:rPr>
                <w:rFonts w:ascii="Calibri" w:hAnsi="Calibri" w:cs="Calibri"/>
                <w:color w:val="000000"/>
                <w:sz w:val="22"/>
                <w:szCs w:val="22"/>
              </w:rPr>
            </w:pPr>
            <w:r>
              <w:rPr>
                <w:rFonts w:ascii="Calibri" w:hAnsi="Calibri" w:cs="Calibri"/>
                <w:color w:val="000000"/>
                <w:sz w:val="22"/>
                <w:szCs w:val="22"/>
              </w:rPr>
              <w:t>-</w:t>
            </w:r>
          </w:p>
        </w:tc>
      </w:tr>
      <w:tr w:rsidR="00C83EE6" w14:paraId="285D3DA7" w14:textId="77777777" w:rsidTr="006E07AE">
        <w:tc>
          <w:tcPr>
            <w:tcW w:w="1774" w:type="dxa"/>
            <w:vMerge/>
            <w:tcBorders>
              <w:top w:val="nil"/>
              <w:left w:val="single" w:sz="4" w:space="0" w:color="auto"/>
              <w:bottom w:val="single" w:sz="4" w:space="0" w:color="auto"/>
              <w:right w:val="single" w:sz="4" w:space="0" w:color="auto"/>
            </w:tcBorders>
            <w:hideMark/>
          </w:tcPr>
          <w:p w14:paraId="78645B7B" w14:textId="77777777" w:rsidR="00C83EE6" w:rsidRDefault="00C83EE6">
            <w:pPr>
              <w:rPr>
                <w:rFonts w:ascii="Calibri" w:hAnsi="Calibri" w:cs="Calibri"/>
                <w:b/>
                <w:bCs/>
                <w:color w:val="000000"/>
                <w:sz w:val="22"/>
                <w:szCs w:val="22"/>
              </w:rPr>
            </w:pPr>
          </w:p>
        </w:tc>
        <w:tc>
          <w:tcPr>
            <w:tcW w:w="2857" w:type="dxa"/>
            <w:tcBorders>
              <w:top w:val="nil"/>
              <w:left w:val="nil"/>
              <w:bottom w:val="single" w:sz="4" w:space="0" w:color="auto"/>
              <w:right w:val="single" w:sz="4" w:space="0" w:color="auto"/>
            </w:tcBorders>
            <w:shd w:val="clear" w:color="auto" w:fill="auto"/>
            <w:noWrap/>
            <w:hideMark/>
          </w:tcPr>
          <w:p w14:paraId="3D16841B" w14:textId="77777777" w:rsidR="00C83EE6" w:rsidRDefault="00C83EE6">
            <w:pPr>
              <w:rPr>
                <w:rFonts w:ascii="Calibri" w:hAnsi="Calibri" w:cs="Calibri"/>
                <w:color w:val="000000"/>
                <w:sz w:val="22"/>
                <w:szCs w:val="22"/>
              </w:rPr>
            </w:pPr>
            <w:r>
              <w:rPr>
                <w:rFonts w:ascii="Calibri" w:hAnsi="Calibri" w:cs="Calibri"/>
                <w:color w:val="000000"/>
                <w:sz w:val="22"/>
                <w:szCs w:val="22"/>
              </w:rPr>
              <w:t>Efficiency, PV &amp; Battery</w:t>
            </w:r>
          </w:p>
        </w:tc>
        <w:tc>
          <w:tcPr>
            <w:tcW w:w="1664" w:type="dxa"/>
            <w:tcBorders>
              <w:top w:val="nil"/>
              <w:left w:val="nil"/>
              <w:bottom w:val="single" w:sz="4" w:space="0" w:color="auto"/>
              <w:right w:val="single" w:sz="4" w:space="0" w:color="auto"/>
            </w:tcBorders>
            <w:shd w:val="clear" w:color="auto" w:fill="auto"/>
            <w:noWrap/>
            <w:hideMark/>
          </w:tcPr>
          <w:p w14:paraId="23D6D468"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17%</w:t>
            </w:r>
          </w:p>
        </w:tc>
        <w:tc>
          <w:tcPr>
            <w:tcW w:w="1620" w:type="dxa"/>
            <w:tcBorders>
              <w:top w:val="nil"/>
              <w:left w:val="nil"/>
              <w:bottom w:val="single" w:sz="4" w:space="0" w:color="auto"/>
              <w:right w:val="single" w:sz="4" w:space="0" w:color="auto"/>
            </w:tcBorders>
            <w:shd w:val="clear" w:color="auto" w:fill="auto"/>
            <w:noWrap/>
            <w:hideMark/>
          </w:tcPr>
          <w:p w14:paraId="039F5009" w14:textId="16423085"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 xml:space="preserve"> $3,926 </w:t>
            </w:r>
          </w:p>
        </w:tc>
        <w:tc>
          <w:tcPr>
            <w:tcW w:w="1260" w:type="dxa"/>
            <w:tcBorders>
              <w:top w:val="nil"/>
              <w:left w:val="nil"/>
              <w:bottom w:val="single" w:sz="4" w:space="0" w:color="auto"/>
              <w:right w:val="single" w:sz="4" w:space="0" w:color="auto"/>
            </w:tcBorders>
            <w:shd w:val="clear" w:color="auto" w:fill="auto"/>
            <w:noWrap/>
            <w:hideMark/>
          </w:tcPr>
          <w:p w14:paraId="11CE09DE"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21%</w:t>
            </w:r>
          </w:p>
        </w:tc>
      </w:tr>
      <w:tr w:rsidR="00C83EE6" w14:paraId="7DC94186" w14:textId="77777777" w:rsidTr="006E07AE">
        <w:tc>
          <w:tcPr>
            <w:tcW w:w="1774" w:type="dxa"/>
            <w:vMerge w:val="restart"/>
            <w:tcBorders>
              <w:top w:val="nil"/>
              <w:left w:val="single" w:sz="4" w:space="0" w:color="auto"/>
              <w:bottom w:val="single" w:sz="4" w:space="0" w:color="auto"/>
              <w:right w:val="single" w:sz="4" w:space="0" w:color="auto"/>
            </w:tcBorders>
            <w:shd w:val="clear" w:color="auto" w:fill="auto"/>
            <w:hideMark/>
          </w:tcPr>
          <w:p w14:paraId="1C12E565" w14:textId="77777777" w:rsidR="00C83EE6" w:rsidRDefault="00C83EE6">
            <w:pPr>
              <w:rPr>
                <w:rFonts w:ascii="Calibri" w:hAnsi="Calibri" w:cs="Calibri"/>
                <w:b/>
                <w:bCs/>
                <w:color w:val="000000"/>
                <w:sz w:val="22"/>
                <w:szCs w:val="22"/>
              </w:rPr>
            </w:pPr>
            <w:r>
              <w:rPr>
                <w:rFonts w:ascii="Calibri" w:hAnsi="Calibri" w:cs="Calibri"/>
                <w:b/>
                <w:bCs/>
                <w:color w:val="000000"/>
                <w:sz w:val="22"/>
                <w:szCs w:val="22"/>
              </w:rPr>
              <w:t>All-Electric</w:t>
            </w:r>
          </w:p>
        </w:tc>
        <w:tc>
          <w:tcPr>
            <w:tcW w:w="2857" w:type="dxa"/>
            <w:tcBorders>
              <w:top w:val="nil"/>
              <w:left w:val="nil"/>
              <w:bottom w:val="single" w:sz="4" w:space="0" w:color="auto"/>
              <w:right w:val="single" w:sz="4" w:space="0" w:color="auto"/>
            </w:tcBorders>
            <w:shd w:val="clear" w:color="auto" w:fill="auto"/>
            <w:noWrap/>
            <w:hideMark/>
          </w:tcPr>
          <w:p w14:paraId="1BF7103C" w14:textId="77777777" w:rsidR="00C83EE6" w:rsidRDefault="00C83EE6">
            <w:pPr>
              <w:rPr>
                <w:rFonts w:ascii="Calibri" w:hAnsi="Calibri" w:cs="Calibri"/>
                <w:color w:val="000000"/>
                <w:sz w:val="22"/>
                <w:szCs w:val="22"/>
              </w:rPr>
            </w:pPr>
            <w:r>
              <w:rPr>
                <w:rFonts w:ascii="Calibri" w:hAnsi="Calibri" w:cs="Calibri"/>
                <w:color w:val="000000"/>
                <w:sz w:val="22"/>
                <w:szCs w:val="22"/>
              </w:rPr>
              <w:t>Prescriptive Efficiency</w:t>
            </w:r>
          </w:p>
        </w:tc>
        <w:tc>
          <w:tcPr>
            <w:tcW w:w="1664" w:type="dxa"/>
            <w:tcBorders>
              <w:top w:val="nil"/>
              <w:left w:val="nil"/>
              <w:bottom w:val="single" w:sz="4" w:space="0" w:color="auto"/>
              <w:right w:val="single" w:sz="4" w:space="0" w:color="auto"/>
            </w:tcBorders>
            <w:shd w:val="clear" w:color="auto" w:fill="auto"/>
            <w:noWrap/>
            <w:hideMark/>
          </w:tcPr>
          <w:p w14:paraId="70369EA4"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11%</w:t>
            </w:r>
          </w:p>
        </w:tc>
        <w:tc>
          <w:tcPr>
            <w:tcW w:w="1620" w:type="dxa"/>
            <w:tcBorders>
              <w:top w:val="nil"/>
              <w:left w:val="nil"/>
              <w:bottom w:val="single" w:sz="4" w:space="0" w:color="auto"/>
              <w:right w:val="single" w:sz="4" w:space="0" w:color="auto"/>
            </w:tcBorders>
            <w:shd w:val="clear" w:color="auto" w:fill="auto"/>
            <w:noWrap/>
            <w:hideMark/>
          </w:tcPr>
          <w:p w14:paraId="7A70F967" w14:textId="1CF6795C"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 xml:space="preserve"> $ 446 </w:t>
            </w:r>
          </w:p>
        </w:tc>
        <w:tc>
          <w:tcPr>
            <w:tcW w:w="1260" w:type="dxa"/>
            <w:tcBorders>
              <w:top w:val="nil"/>
              <w:left w:val="nil"/>
              <w:bottom w:val="single" w:sz="4" w:space="0" w:color="auto"/>
              <w:right w:val="single" w:sz="4" w:space="0" w:color="auto"/>
            </w:tcBorders>
            <w:shd w:val="clear" w:color="auto" w:fill="auto"/>
            <w:noWrap/>
            <w:hideMark/>
          </w:tcPr>
          <w:p w14:paraId="5B1CDFF9"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35%</w:t>
            </w:r>
          </w:p>
        </w:tc>
      </w:tr>
      <w:tr w:rsidR="00C83EE6" w14:paraId="51A4DE5F" w14:textId="77777777" w:rsidTr="006E07AE">
        <w:tc>
          <w:tcPr>
            <w:tcW w:w="1774" w:type="dxa"/>
            <w:vMerge/>
            <w:tcBorders>
              <w:top w:val="nil"/>
              <w:left w:val="single" w:sz="4" w:space="0" w:color="auto"/>
              <w:bottom w:val="single" w:sz="4" w:space="0" w:color="auto"/>
              <w:right w:val="single" w:sz="4" w:space="0" w:color="auto"/>
            </w:tcBorders>
            <w:hideMark/>
          </w:tcPr>
          <w:p w14:paraId="2CE3AB5D" w14:textId="77777777" w:rsidR="00C83EE6" w:rsidRDefault="00C83EE6">
            <w:pPr>
              <w:rPr>
                <w:rFonts w:ascii="Calibri" w:hAnsi="Calibri" w:cs="Calibri"/>
                <w:b/>
                <w:bCs/>
                <w:color w:val="000000"/>
                <w:sz w:val="22"/>
                <w:szCs w:val="22"/>
              </w:rPr>
            </w:pPr>
          </w:p>
        </w:tc>
        <w:tc>
          <w:tcPr>
            <w:tcW w:w="2857" w:type="dxa"/>
            <w:tcBorders>
              <w:top w:val="nil"/>
              <w:left w:val="nil"/>
              <w:bottom w:val="single" w:sz="4" w:space="0" w:color="auto"/>
              <w:right w:val="single" w:sz="4" w:space="0" w:color="auto"/>
            </w:tcBorders>
            <w:shd w:val="clear" w:color="auto" w:fill="auto"/>
            <w:noWrap/>
            <w:hideMark/>
          </w:tcPr>
          <w:p w14:paraId="3531E807" w14:textId="77777777" w:rsidR="00C83EE6" w:rsidRDefault="00C83EE6">
            <w:pPr>
              <w:rPr>
                <w:rFonts w:ascii="Calibri" w:hAnsi="Calibri" w:cs="Calibri"/>
                <w:color w:val="000000"/>
                <w:sz w:val="22"/>
                <w:szCs w:val="22"/>
              </w:rPr>
            </w:pPr>
            <w:r>
              <w:rPr>
                <w:rFonts w:ascii="Calibri" w:hAnsi="Calibri" w:cs="Calibri"/>
                <w:color w:val="000000"/>
                <w:sz w:val="22"/>
                <w:szCs w:val="22"/>
              </w:rPr>
              <w:t>Prescriptive Efficiency &amp; PV</w:t>
            </w:r>
          </w:p>
        </w:tc>
        <w:tc>
          <w:tcPr>
            <w:tcW w:w="1664" w:type="dxa"/>
            <w:tcBorders>
              <w:top w:val="nil"/>
              <w:left w:val="nil"/>
              <w:bottom w:val="single" w:sz="4" w:space="0" w:color="auto"/>
              <w:right w:val="single" w:sz="4" w:space="0" w:color="auto"/>
            </w:tcBorders>
            <w:shd w:val="clear" w:color="auto" w:fill="auto"/>
            <w:noWrap/>
            <w:hideMark/>
          </w:tcPr>
          <w:p w14:paraId="569F14D5"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19%</w:t>
            </w:r>
          </w:p>
        </w:tc>
        <w:tc>
          <w:tcPr>
            <w:tcW w:w="1620" w:type="dxa"/>
            <w:tcBorders>
              <w:top w:val="nil"/>
              <w:left w:val="nil"/>
              <w:bottom w:val="single" w:sz="4" w:space="0" w:color="auto"/>
              <w:right w:val="single" w:sz="4" w:space="0" w:color="auto"/>
            </w:tcBorders>
            <w:shd w:val="clear" w:color="auto" w:fill="auto"/>
            <w:noWrap/>
            <w:hideMark/>
          </w:tcPr>
          <w:p w14:paraId="2FEF0360" w14:textId="2EBE5BFF"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 xml:space="preserve"> $2,756 </w:t>
            </w:r>
          </w:p>
        </w:tc>
        <w:tc>
          <w:tcPr>
            <w:tcW w:w="1260" w:type="dxa"/>
            <w:tcBorders>
              <w:top w:val="nil"/>
              <w:left w:val="nil"/>
              <w:bottom w:val="single" w:sz="4" w:space="0" w:color="auto"/>
              <w:right w:val="single" w:sz="4" w:space="0" w:color="auto"/>
            </w:tcBorders>
            <w:shd w:val="clear" w:color="auto" w:fill="auto"/>
            <w:noWrap/>
            <w:hideMark/>
          </w:tcPr>
          <w:p w14:paraId="7F614519"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43%</w:t>
            </w:r>
          </w:p>
        </w:tc>
      </w:tr>
      <w:tr w:rsidR="00C83EE6" w14:paraId="48413E3D" w14:textId="77777777" w:rsidTr="006E07AE">
        <w:tc>
          <w:tcPr>
            <w:tcW w:w="4631"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3CF3B9F4" w14:textId="77777777" w:rsidR="00C83EE6" w:rsidRDefault="00C83EE6">
            <w:pPr>
              <w:rPr>
                <w:rFonts w:ascii="Calibri" w:hAnsi="Calibri" w:cs="Calibri"/>
                <w:b/>
                <w:bCs/>
                <w:color w:val="000000"/>
                <w:sz w:val="22"/>
                <w:szCs w:val="22"/>
              </w:rPr>
            </w:pPr>
            <w:r>
              <w:rPr>
                <w:rFonts w:ascii="Calibri" w:hAnsi="Calibri" w:cs="Calibri"/>
                <w:b/>
                <w:bCs/>
                <w:color w:val="000000"/>
                <w:sz w:val="22"/>
                <w:szCs w:val="22"/>
              </w:rPr>
              <w:t>Maximum Margin</w:t>
            </w:r>
          </w:p>
        </w:tc>
        <w:tc>
          <w:tcPr>
            <w:tcW w:w="1664" w:type="dxa"/>
            <w:tcBorders>
              <w:top w:val="nil"/>
              <w:left w:val="nil"/>
              <w:bottom w:val="single" w:sz="4" w:space="0" w:color="auto"/>
              <w:right w:val="single" w:sz="4" w:space="0" w:color="auto"/>
            </w:tcBorders>
            <w:shd w:val="clear" w:color="auto" w:fill="auto"/>
            <w:noWrap/>
            <w:hideMark/>
          </w:tcPr>
          <w:p w14:paraId="6D319E81"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17%</w:t>
            </w:r>
          </w:p>
        </w:tc>
        <w:tc>
          <w:tcPr>
            <w:tcW w:w="1620" w:type="dxa"/>
            <w:tcBorders>
              <w:top w:val="nil"/>
              <w:left w:val="nil"/>
              <w:bottom w:val="nil"/>
              <w:right w:val="nil"/>
            </w:tcBorders>
            <w:shd w:val="clear" w:color="auto" w:fill="auto"/>
            <w:noWrap/>
            <w:hideMark/>
          </w:tcPr>
          <w:p w14:paraId="239AA50A"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 </w:t>
            </w:r>
          </w:p>
        </w:tc>
        <w:tc>
          <w:tcPr>
            <w:tcW w:w="1260" w:type="dxa"/>
            <w:tcBorders>
              <w:top w:val="nil"/>
              <w:left w:val="nil"/>
              <w:bottom w:val="nil"/>
              <w:right w:val="nil"/>
            </w:tcBorders>
            <w:shd w:val="clear" w:color="auto" w:fill="auto"/>
            <w:noWrap/>
            <w:hideMark/>
          </w:tcPr>
          <w:p w14:paraId="7EBA32F1" w14:textId="77777777" w:rsidR="00C83EE6" w:rsidRDefault="00C83EE6" w:rsidP="00411638">
            <w:pPr>
              <w:jc w:val="right"/>
              <w:rPr>
                <w:rFonts w:ascii="Calibri" w:hAnsi="Calibri" w:cs="Calibri"/>
                <w:color w:val="000000"/>
                <w:sz w:val="22"/>
                <w:szCs w:val="22"/>
              </w:rPr>
            </w:pPr>
            <w:r>
              <w:rPr>
                <w:rFonts w:ascii="Calibri" w:hAnsi="Calibri" w:cs="Calibri"/>
                <w:color w:val="000000"/>
                <w:sz w:val="22"/>
                <w:szCs w:val="22"/>
              </w:rPr>
              <w:t> </w:t>
            </w:r>
          </w:p>
        </w:tc>
      </w:tr>
      <w:tr w:rsidR="002F51F0" w14:paraId="4879867A" w14:textId="77777777" w:rsidTr="006E07AE">
        <w:tc>
          <w:tcPr>
            <w:tcW w:w="4631" w:type="dxa"/>
            <w:gridSpan w:val="2"/>
            <w:tcBorders>
              <w:top w:val="nil"/>
              <w:left w:val="single" w:sz="4" w:space="0" w:color="auto"/>
              <w:bottom w:val="single" w:sz="4" w:space="0" w:color="auto"/>
              <w:right w:val="single" w:sz="4" w:space="0" w:color="auto"/>
            </w:tcBorders>
            <w:shd w:val="clear" w:color="auto" w:fill="auto"/>
            <w:noWrap/>
            <w:hideMark/>
          </w:tcPr>
          <w:p w14:paraId="5C1FD84B" w14:textId="475658C5" w:rsidR="002F51F0" w:rsidRPr="002F51F0" w:rsidRDefault="002F51F0">
            <w:pPr>
              <w:rPr>
                <w:rFonts w:ascii="Calibri" w:hAnsi="Calibri" w:cs="Calibri"/>
                <w:b/>
                <w:bCs/>
                <w:color w:val="000000"/>
                <w:sz w:val="22"/>
                <w:szCs w:val="22"/>
              </w:rPr>
            </w:pPr>
            <w:r>
              <w:rPr>
                <w:rFonts w:ascii="Calibri" w:hAnsi="Calibri" w:cs="Calibri"/>
                <w:b/>
                <w:bCs/>
                <w:color w:val="000000"/>
                <w:sz w:val="22"/>
                <w:szCs w:val="22"/>
              </w:rPr>
              <w:t>Reasonable Margin</w:t>
            </w:r>
          </w:p>
        </w:tc>
        <w:tc>
          <w:tcPr>
            <w:tcW w:w="1664" w:type="dxa"/>
            <w:tcBorders>
              <w:top w:val="nil"/>
              <w:left w:val="nil"/>
              <w:bottom w:val="single" w:sz="4" w:space="0" w:color="auto"/>
              <w:right w:val="single" w:sz="4" w:space="0" w:color="auto"/>
            </w:tcBorders>
            <w:shd w:val="clear" w:color="auto" w:fill="auto"/>
            <w:noWrap/>
            <w:hideMark/>
          </w:tcPr>
          <w:p w14:paraId="4CB9A09E" w14:textId="77777777" w:rsidR="002F51F0" w:rsidRDefault="002F51F0" w:rsidP="00411638">
            <w:pPr>
              <w:jc w:val="right"/>
              <w:rPr>
                <w:rFonts w:ascii="Calibri" w:hAnsi="Calibri" w:cs="Calibri"/>
                <w:color w:val="000000"/>
                <w:sz w:val="22"/>
                <w:szCs w:val="22"/>
              </w:rPr>
            </w:pPr>
            <w:r>
              <w:rPr>
                <w:rFonts w:ascii="Calibri" w:hAnsi="Calibri" w:cs="Calibri"/>
                <w:color w:val="000000"/>
                <w:sz w:val="22"/>
                <w:szCs w:val="22"/>
              </w:rPr>
              <w:t>10%</w:t>
            </w:r>
          </w:p>
        </w:tc>
        <w:tc>
          <w:tcPr>
            <w:tcW w:w="1620" w:type="dxa"/>
            <w:tcBorders>
              <w:top w:val="nil"/>
              <w:left w:val="nil"/>
              <w:bottom w:val="nil"/>
              <w:right w:val="nil"/>
            </w:tcBorders>
            <w:shd w:val="clear" w:color="auto" w:fill="auto"/>
            <w:noWrap/>
            <w:hideMark/>
          </w:tcPr>
          <w:p w14:paraId="0853B268" w14:textId="77777777" w:rsidR="002F51F0" w:rsidRDefault="002F51F0" w:rsidP="00411638">
            <w:pPr>
              <w:jc w:val="right"/>
              <w:rPr>
                <w:rFonts w:ascii="Calibri" w:hAnsi="Calibri" w:cs="Calibri"/>
                <w:color w:val="000000"/>
                <w:sz w:val="22"/>
                <w:szCs w:val="22"/>
              </w:rPr>
            </w:pPr>
            <w:r>
              <w:rPr>
                <w:rFonts w:ascii="Calibri" w:hAnsi="Calibri" w:cs="Calibri"/>
                <w:color w:val="000000"/>
                <w:sz w:val="22"/>
                <w:szCs w:val="22"/>
              </w:rPr>
              <w:t> </w:t>
            </w:r>
          </w:p>
        </w:tc>
        <w:tc>
          <w:tcPr>
            <w:tcW w:w="1260" w:type="dxa"/>
            <w:tcBorders>
              <w:top w:val="nil"/>
              <w:left w:val="nil"/>
              <w:bottom w:val="nil"/>
              <w:right w:val="nil"/>
            </w:tcBorders>
            <w:shd w:val="clear" w:color="auto" w:fill="auto"/>
            <w:noWrap/>
            <w:hideMark/>
          </w:tcPr>
          <w:p w14:paraId="0DEFED91" w14:textId="77777777" w:rsidR="002F51F0" w:rsidRDefault="002F51F0" w:rsidP="00411638">
            <w:pPr>
              <w:jc w:val="right"/>
              <w:rPr>
                <w:rFonts w:ascii="Calibri" w:hAnsi="Calibri" w:cs="Calibri"/>
                <w:color w:val="000000"/>
                <w:sz w:val="22"/>
                <w:szCs w:val="22"/>
              </w:rPr>
            </w:pPr>
            <w:r>
              <w:rPr>
                <w:rFonts w:ascii="Calibri" w:hAnsi="Calibri" w:cs="Calibri"/>
                <w:color w:val="000000"/>
                <w:sz w:val="22"/>
                <w:szCs w:val="22"/>
              </w:rPr>
              <w:t> </w:t>
            </w:r>
          </w:p>
        </w:tc>
      </w:tr>
    </w:tbl>
    <w:p w14:paraId="1064A0C8" w14:textId="77777777" w:rsidR="00C83EE6" w:rsidRPr="00DA6592" w:rsidRDefault="00C83EE6" w:rsidP="00894524">
      <w:pPr>
        <w:keepNext/>
        <w:spacing w:after="60"/>
        <w:rPr>
          <w:rFonts w:asciiTheme="minorHAnsi" w:hAnsiTheme="minorHAnsi" w:cstheme="minorHAnsi"/>
          <w:b/>
          <w:color w:val="336175"/>
          <w:sz w:val="28"/>
          <w:szCs w:val="28"/>
          <w:highlight w:val="yellow"/>
        </w:rPr>
      </w:pPr>
    </w:p>
    <w:p w14:paraId="43F63C9E" w14:textId="62B67AE0" w:rsidR="00FD09F6" w:rsidRPr="00DA6592" w:rsidRDefault="00DF0122" w:rsidP="00887E62">
      <w:pPr>
        <w:rPr>
          <w:rFonts w:asciiTheme="minorHAnsi" w:hAnsiTheme="minorHAnsi" w:cstheme="minorHAnsi"/>
        </w:rPr>
      </w:pPr>
      <w:r w:rsidRPr="00DA6592">
        <w:rPr>
          <w:rFonts w:asciiTheme="minorHAnsi" w:hAnsiTheme="minorHAnsi" w:cstheme="minorHAnsi"/>
        </w:rPr>
        <w:t>To encourage the quality of compliance documentation</w:t>
      </w:r>
      <w:r w:rsidR="00FD09F6" w:rsidRPr="00DA6592">
        <w:rPr>
          <w:rFonts w:asciiTheme="minorHAnsi" w:hAnsiTheme="minorHAnsi" w:cstheme="minorHAnsi"/>
        </w:rPr>
        <w:t>, the requirements could offer a credit for permit applications that include energy compliance documents prepared by a Certified Energy Analyst</w:t>
      </w:r>
      <w:r w:rsidR="00DB447F" w:rsidRPr="00DA6592">
        <w:rPr>
          <w:rFonts w:asciiTheme="minorHAnsi" w:hAnsiTheme="minorHAnsi" w:cstheme="minorHAnsi"/>
        </w:rPr>
        <w:t xml:space="preserve"> (CEA)</w:t>
      </w:r>
      <w:r w:rsidR="00DB447F" w:rsidRPr="00DA6592">
        <w:rPr>
          <w:rStyle w:val="FootnoteReference"/>
          <w:rFonts w:asciiTheme="minorHAnsi" w:hAnsiTheme="minorHAnsi" w:cstheme="minorHAnsi"/>
        </w:rPr>
        <w:footnoteReference w:id="10"/>
      </w:r>
      <w:r w:rsidR="00FD09F6" w:rsidRPr="00DA6592">
        <w:rPr>
          <w:rFonts w:asciiTheme="minorHAnsi" w:hAnsiTheme="minorHAnsi" w:cstheme="minorHAnsi"/>
        </w:rPr>
        <w:t>. The performance requirements could be reduced by one EDR1 point (single family buildings) or 1% (multifamily buildings).</w:t>
      </w:r>
    </w:p>
    <w:p w14:paraId="2CF186E7" w14:textId="77777777" w:rsidR="002153F4" w:rsidRPr="00DA6592" w:rsidRDefault="002153F4" w:rsidP="00887E62">
      <w:pPr>
        <w:rPr>
          <w:rFonts w:asciiTheme="minorHAnsi" w:hAnsiTheme="minorHAnsi" w:cstheme="minorHAnsi"/>
        </w:rPr>
      </w:pPr>
    </w:p>
    <w:p w14:paraId="13A7B363" w14:textId="77777777" w:rsidR="002153F4" w:rsidRPr="00DA6592" w:rsidRDefault="002153F4" w:rsidP="00887E62">
      <w:pPr>
        <w:rPr>
          <w:rFonts w:asciiTheme="minorHAnsi" w:hAnsiTheme="minorHAnsi" w:cstheme="minorHAnsi"/>
        </w:rPr>
      </w:pPr>
      <w:r w:rsidRPr="00DA6592">
        <w:rPr>
          <w:rFonts w:asciiTheme="minorHAnsi" w:hAnsiTheme="minorHAnsi" w:cstheme="minorHAnsi"/>
        </w:rPr>
        <w:t>The potential impact of these requirements depends on a variety of factors:</w:t>
      </w:r>
    </w:p>
    <w:p w14:paraId="6AED9A79" w14:textId="391758AB" w:rsidR="002153F4" w:rsidRPr="00DA6592" w:rsidRDefault="00075B8A" w:rsidP="00B55480">
      <w:pPr>
        <w:pStyle w:val="ListParagraph"/>
        <w:numPr>
          <w:ilvl w:val="0"/>
          <w:numId w:val="19"/>
        </w:numPr>
        <w:rPr>
          <w:rFonts w:asciiTheme="minorHAnsi" w:hAnsiTheme="minorHAnsi"/>
        </w:rPr>
      </w:pPr>
      <w:r>
        <w:rPr>
          <w:rFonts w:asciiTheme="minorHAnsi" w:hAnsiTheme="minorHAnsi"/>
        </w:rPr>
        <w:t>C</w:t>
      </w:r>
      <w:r w:rsidR="002153F4" w:rsidRPr="00DA6592">
        <w:rPr>
          <w:rFonts w:asciiTheme="minorHAnsi" w:hAnsiTheme="minorHAnsi"/>
        </w:rPr>
        <w:t xml:space="preserve">ompliance </w:t>
      </w:r>
      <w:r w:rsidR="00E57DA4" w:rsidRPr="00DA6592">
        <w:rPr>
          <w:rFonts w:asciiTheme="minorHAnsi" w:hAnsiTheme="minorHAnsi"/>
        </w:rPr>
        <w:t>margins</w:t>
      </w:r>
    </w:p>
    <w:p w14:paraId="16626C35" w14:textId="4FB15E2E" w:rsidR="002153F4" w:rsidRPr="00DA6592" w:rsidRDefault="00075B8A" w:rsidP="00B55480">
      <w:pPr>
        <w:pStyle w:val="ListParagraph"/>
        <w:numPr>
          <w:ilvl w:val="0"/>
          <w:numId w:val="19"/>
        </w:numPr>
        <w:rPr>
          <w:rFonts w:asciiTheme="minorHAnsi" w:hAnsiTheme="minorHAnsi"/>
        </w:rPr>
      </w:pPr>
      <w:r>
        <w:rPr>
          <w:rFonts w:asciiTheme="minorHAnsi" w:hAnsiTheme="minorHAnsi"/>
        </w:rPr>
        <w:t>M</w:t>
      </w:r>
      <w:r w:rsidR="002153F4" w:rsidRPr="00DA6592">
        <w:rPr>
          <w:rFonts w:asciiTheme="minorHAnsi" w:hAnsiTheme="minorHAnsi"/>
        </w:rPr>
        <w:t xml:space="preserve">arket response to </w:t>
      </w:r>
      <w:r w:rsidR="00F47970" w:rsidRPr="00DA6592">
        <w:rPr>
          <w:rFonts w:asciiTheme="minorHAnsi" w:hAnsiTheme="minorHAnsi"/>
        </w:rPr>
        <w:t>the cost differentials of design types</w:t>
      </w:r>
    </w:p>
    <w:p w14:paraId="17CC9D26" w14:textId="6276DE2E" w:rsidR="002153F4" w:rsidRPr="00DA6592" w:rsidRDefault="00075B8A" w:rsidP="00B55480">
      <w:pPr>
        <w:pStyle w:val="ListParagraph"/>
        <w:numPr>
          <w:ilvl w:val="0"/>
          <w:numId w:val="19"/>
        </w:numPr>
        <w:rPr>
          <w:rFonts w:asciiTheme="minorHAnsi" w:hAnsiTheme="minorHAnsi"/>
        </w:rPr>
      </w:pPr>
      <w:r>
        <w:rPr>
          <w:rFonts w:asciiTheme="minorHAnsi" w:hAnsiTheme="minorHAnsi"/>
        </w:rPr>
        <w:t>N</w:t>
      </w:r>
      <w:r w:rsidR="002153F4" w:rsidRPr="00DA6592">
        <w:rPr>
          <w:rFonts w:asciiTheme="minorHAnsi" w:hAnsiTheme="minorHAnsi"/>
        </w:rPr>
        <w:t xml:space="preserve">umber </w:t>
      </w:r>
      <w:r w:rsidR="001B6DB3" w:rsidRPr="00DA6592">
        <w:rPr>
          <w:rFonts w:asciiTheme="minorHAnsi" w:hAnsiTheme="minorHAnsi"/>
        </w:rPr>
        <w:t>and size of buildings</w:t>
      </w:r>
      <w:r w:rsidR="002153F4" w:rsidRPr="00DA6592">
        <w:rPr>
          <w:rFonts w:asciiTheme="minorHAnsi" w:hAnsiTheme="minorHAnsi"/>
        </w:rPr>
        <w:t xml:space="preserve"> subject to the </w:t>
      </w:r>
      <w:proofErr w:type="gramStart"/>
      <w:r w:rsidR="002153F4" w:rsidRPr="00DA6592">
        <w:rPr>
          <w:rFonts w:asciiTheme="minorHAnsi" w:hAnsiTheme="minorHAnsi"/>
        </w:rPr>
        <w:t>requirements</w:t>
      </w:r>
      <w:proofErr w:type="gramEnd"/>
    </w:p>
    <w:p w14:paraId="050ECD0E" w14:textId="14BBEFE1" w:rsidR="00E82C6B" w:rsidRPr="00DA6592" w:rsidRDefault="00075B8A" w:rsidP="00B55480">
      <w:pPr>
        <w:pStyle w:val="ListParagraph"/>
        <w:numPr>
          <w:ilvl w:val="0"/>
          <w:numId w:val="19"/>
        </w:numPr>
        <w:rPr>
          <w:rFonts w:asciiTheme="minorHAnsi" w:hAnsiTheme="minorHAnsi"/>
        </w:rPr>
      </w:pPr>
      <w:r>
        <w:rPr>
          <w:rFonts w:asciiTheme="minorHAnsi" w:hAnsiTheme="minorHAnsi"/>
        </w:rPr>
        <w:t>C</w:t>
      </w:r>
      <w:r w:rsidR="002153F4" w:rsidRPr="00DA6592">
        <w:rPr>
          <w:rFonts w:asciiTheme="minorHAnsi" w:hAnsiTheme="minorHAnsi"/>
        </w:rPr>
        <w:t>arbon content of electricity</w:t>
      </w:r>
    </w:p>
    <w:p w14:paraId="1E0E9D04" w14:textId="77777777" w:rsidR="00E822F9" w:rsidRPr="00DA6592" w:rsidRDefault="00E822F9" w:rsidP="00E822F9">
      <w:pPr>
        <w:ind w:left="360"/>
        <w:rPr>
          <w:rFonts w:asciiTheme="minorHAnsi" w:hAnsiTheme="minorHAnsi" w:cstheme="minorHAnsi"/>
        </w:rPr>
      </w:pPr>
    </w:p>
    <w:p w14:paraId="23DD3814" w14:textId="003EA425" w:rsidR="00E82C6B" w:rsidRPr="00DA6592" w:rsidRDefault="00E82C6B" w:rsidP="00887E62">
      <w:pPr>
        <w:rPr>
          <w:rFonts w:asciiTheme="minorHAnsi" w:hAnsiTheme="minorHAnsi" w:cstheme="minorHAnsi"/>
        </w:rPr>
      </w:pPr>
      <w:r w:rsidRPr="00DA6592">
        <w:rPr>
          <w:rFonts w:asciiTheme="minorHAnsi" w:hAnsiTheme="minorHAnsi" w:cstheme="minorHAnsi"/>
        </w:rPr>
        <w:t>The policy would remain in effect until superseded by the 2025 State Code</w:t>
      </w:r>
      <w:r w:rsidR="002A1B2C">
        <w:rPr>
          <w:rFonts w:asciiTheme="minorHAnsi" w:hAnsiTheme="minorHAnsi" w:cstheme="minorHAnsi"/>
        </w:rPr>
        <w:t>, which is expected to take effect</w:t>
      </w:r>
      <w:r w:rsidRPr="00DA6592">
        <w:rPr>
          <w:rFonts w:asciiTheme="minorHAnsi" w:hAnsiTheme="minorHAnsi" w:cstheme="minorHAnsi"/>
        </w:rPr>
        <w:t xml:space="preserve"> on January 1, 202</w:t>
      </w:r>
      <w:r w:rsidR="007D5AB5" w:rsidRPr="00DA6592">
        <w:rPr>
          <w:rFonts w:asciiTheme="minorHAnsi" w:hAnsiTheme="minorHAnsi" w:cstheme="minorHAnsi"/>
        </w:rPr>
        <w:t>6</w:t>
      </w:r>
      <w:r w:rsidRPr="00DA6592">
        <w:rPr>
          <w:rFonts w:asciiTheme="minorHAnsi" w:hAnsiTheme="minorHAnsi" w:cstheme="minorHAnsi"/>
        </w:rPr>
        <w:t xml:space="preserve">. The current draft of the </w:t>
      </w:r>
      <w:r w:rsidR="00084CBF" w:rsidRPr="00DA6592">
        <w:rPr>
          <w:rFonts w:asciiTheme="minorHAnsi" w:hAnsiTheme="minorHAnsi" w:cstheme="minorHAnsi"/>
        </w:rPr>
        <w:t xml:space="preserve">proposed </w:t>
      </w:r>
      <w:r w:rsidRPr="00DA6592">
        <w:rPr>
          <w:rFonts w:asciiTheme="minorHAnsi" w:hAnsiTheme="minorHAnsi" w:cstheme="minorHAnsi"/>
        </w:rPr>
        <w:t xml:space="preserve">2025 State Code assumes a performance baseline with heat pumps for both space and water heating; the impacts may be </w:t>
      </w:r>
      <w:proofErr w:type="gramStart"/>
      <w:r w:rsidRPr="00DA6592">
        <w:rPr>
          <w:rFonts w:asciiTheme="minorHAnsi" w:hAnsiTheme="minorHAnsi" w:cstheme="minorHAnsi"/>
        </w:rPr>
        <w:t>similar to</w:t>
      </w:r>
      <w:proofErr w:type="gramEnd"/>
      <w:r w:rsidRPr="00DA6592">
        <w:rPr>
          <w:rFonts w:asciiTheme="minorHAnsi" w:hAnsiTheme="minorHAnsi" w:cstheme="minorHAnsi"/>
        </w:rPr>
        <w:t xml:space="preserve"> th</w:t>
      </w:r>
      <w:r w:rsidR="00901496" w:rsidRPr="00DA6592">
        <w:rPr>
          <w:rFonts w:asciiTheme="minorHAnsi" w:hAnsiTheme="minorHAnsi" w:cstheme="minorHAnsi"/>
        </w:rPr>
        <w:t xml:space="preserve">is </w:t>
      </w:r>
      <w:r w:rsidR="00150901" w:rsidRPr="00DA6592">
        <w:rPr>
          <w:rFonts w:asciiTheme="minorHAnsi" w:hAnsiTheme="minorHAnsi" w:cstheme="minorHAnsi"/>
        </w:rPr>
        <w:t xml:space="preserve">single source energy </w:t>
      </w:r>
      <w:r w:rsidR="00901496" w:rsidRPr="00DA6592">
        <w:rPr>
          <w:rFonts w:asciiTheme="minorHAnsi" w:hAnsiTheme="minorHAnsi" w:cstheme="minorHAnsi"/>
        </w:rPr>
        <w:t>policy</w:t>
      </w:r>
      <w:r w:rsidRPr="00DA6592">
        <w:rPr>
          <w:rFonts w:asciiTheme="minorHAnsi" w:hAnsiTheme="minorHAnsi" w:cstheme="minorHAnsi"/>
        </w:rPr>
        <w:t xml:space="preserve">. Adoption of </w:t>
      </w:r>
      <w:r w:rsidR="00901496" w:rsidRPr="00DA6592">
        <w:rPr>
          <w:rFonts w:asciiTheme="minorHAnsi" w:hAnsiTheme="minorHAnsi" w:cstheme="minorHAnsi"/>
        </w:rPr>
        <w:t>a</w:t>
      </w:r>
      <w:r w:rsidRPr="00DA6592">
        <w:rPr>
          <w:rFonts w:asciiTheme="minorHAnsi" w:hAnsiTheme="minorHAnsi" w:cstheme="minorHAnsi"/>
        </w:rPr>
        <w:t xml:space="preserve"> local </w:t>
      </w:r>
      <w:r w:rsidR="00901496" w:rsidRPr="00DA6592">
        <w:rPr>
          <w:rFonts w:asciiTheme="minorHAnsi" w:hAnsiTheme="minorHAnsi" w:cstheme="minorHAnsi"/>
        </w:rPr>
        <w:t>reach code</w:t>
      </w:r>
      <w:r w:rsidRPr="00DA6592">
        <w:rPr>
          <w:rFonts w:asciiTheme="minorHAnsi" w:hAnsiTheme="minorHAnsi" w:cstheme="minorHAnsi"/>
        </w:rPr>
        <w:t xml:space="preserve"> would ensure that any buildings permitted </w:t>
      </w:r>
      <w:r w:rsidR="00A36985" w:rsidRPr="00DA6592">
        <w:rPr>
          <w:rFonts w:asciiTheme="minorHAnsi" w:hAnsiTheme="minorHAnsi" w:cstheme="minorHAnsi"/>
        </w:rPr>
        <w:t>from</w:t>
      </w:r>
      <w:r w:rsidRPr="00DA6592">
        <w:rPr>
          <w:rFonts w:asciiTheme="minorHAnsi" w:hAnsiTheme="minorHAnsi" w:cstheme="minorHAnsi"/>
        </w:rPr>
        <w:t xml:space="preserve"> the effective date of the ordinance </w:t>
      </w:r>
      <w:r w:rsidR="00A36985" w:rsidRPr="00DA6592">
        <w:rPr>
          <w:rFonts w:asciiTheme="minorHAnsi" w:hAnsiTheme="minorHAnsi" w:cstheme="minorHAnsi"/>
        </w:rPr>
        <w:t xml:space="preserve">through December 31, </w:t>
      </w:r>
      <w:proofErr w:type="gramStart"/>
      <w:r w:rsidR="00A36985" w:rsidRPr="00DA6592">
        <w:rPr>
          <w:rFonts w:asciiTheme="minorHAnsi" w:hAnsiTheme="minorHAnsi" w:cstheme="minorHAnsi"/>
        </w:rPr>
        <w:t>202</w:t>
      </w:r>
      <w:r w:rsidR="007D5AB5" w:rsidRPr="00DA6592">
        <w:rPr>
          <w:rFonts w:asciiTheme="minorHAnsi" w:hAnsiTheme="minorHAnsi" w:cstheme="minorHAnsi"/>
        </w:rPr>
        <w:t>5</w:t>
      </w:r>
      <w:proofErr w:type="gramEnd"/>
      <w:r w:rsidRPr="00DA6592">
        <w:rPr>
          <w:rFonts w:asciiTheme="minorHAnsi" w:hAnsiTheme="minorHAnsi" w:cstheme="minorHAnsi"/>
        </w:rPr>
        <w:t xml:space="preserve"> would </w:t>
      </w:r>
      <w:r w:rsidR="00A36985" w:rsidRPr="00DA6592">
        <w:rPr>
          <w:rFonts w:asciiTheme="minorHAnsi" w:hAnsiTheme="minorHAnsi" w:cstheme="minorHAnsi"/>
        </w:rPr>
        <w:t>be subject to</w:t>
      </w:r>
      <w:r w:rsidRPr="00DA6592">
        <w:rPr>
          <w:rFonts w:asciiTheme="minorHAnsi" w:hAnsiTheme="minorHAnsi" w:cstheme="minorHAnsi"/>
        </w:rPr>
        <w:t xml:space="preserve"> </w:t>
      </w:r>
      <w:proofErr w:type="gramStart"/>
      <w:r w:rsidRPr="00DA6592">
        <w:rPr>
          <w:rFonts w:asciiTheme="minorHAnsi" w:hAnsiTheme="minorHAnsi" w:cstheme="minorHAnsi"/>
        </w:rPr>
        <w:t>the higher</w:t>
      </w:r>
      <w:proofErr w:type="gramEnd"/>
      <w:r w:rsidRPr="00DA6592">
        <w:rPr>
          <w:rFonts w:asciiTheme="minorHAnsi" w:hAnsiTheme="minorHAnsi" w:cstheme="minorHAnsi"/>
        </w:rPr>
        <w:t xml:space="preserve"> standards. </w:t>
      </w:r>
    </w:p>
    <w:p w14:paraId="517A4C47" w14:textId="77777777" w:rsidR="0025364F" w:rsidRPr="00DA6592" w:rsidRDefault="0025364F" w:rsidP="00887E62">
      <w:pPr>
        <w:rPr>
          <w:rFonts w:asciiTheme="minorHAnsi" w:hAnsiTheme="minorHAnsi" w:cstheme="minorHAnsi"/>
        </w:rPr>
      </w:pPr>
    </w:p>
    <w:p w14:paraId="0A789ACE" w14:textId="2A2F6840" w:rsidR="00760C25" w:rsidRPr="00DA6592" w:rsidRDefault="006636AB" w:rsidP="00887E62">
      <w:pPr>
        <w:rPr>
          <w:rFonts w:asciiTheme="minorHAnsi" w:hAnsiTheme="minorHAnsi" w:cstheme="minorHAnsi"/>
        </w:rPr>
      </w:pPr>
      <w:r w:rsidRPr="00DA6592">
        <w:rPr>
          <w:rFonts w:asciiTheme="minorHAnsi" w:hAnsiTheme="minorHAnsi" w:cstheme="minorHAnsi"/>
        </w:rPr>
        <w:t>The</w:t>
      </w:r>
      <w:r w:rsidR="00FB2934" w:rsidRPr="00DA6592">
        <w:rPr>
          <w:rFonts w:asciiTheme="minorHAnsi" w:hAnsiTheme="minorHAnsi" w:cstheme="minorHAnsi"/>
        </w:rPr>
        <w:t xml:space="preserve"> costs of the policy change </w:t>
      </w:r>
      <w:r w:rsidR="00E62927" w:rsidRPr="00DA6592">
        <w:rPr>
          <w:rFonts w:asciiTheme="minorHAnsi" w:hAnsiTheme="minorHAnsi" w:cstheme="minorHAnsi"/>
        </w:rPr>
        <w:t xml:space="preserve">to the City </w:t>
      </w:r>
      <w:r w:rsidR="00FB2934" w:rsidRPr="00DA6592">
        <w:rPr>
          <w:rFonts w:asciiTheme="minorHAnsi" w:hAnsiTheme="minorHAnsi" w:cstheme="minorHAnsi"/>
        </w:rPr>
        <w:t>would be negligible.</w:t>
      </w:r>
      <w:r w:rsidR="00F42590" w:rsidRPr="00DA6592">
        <w:rPr>
          <w:rFonts w:asciiTheme="minorHAnsi" w:hAnsiTheme="minorHAnsi" w:cstheme="minorHAnsi"/>
        </w:rPr>
        <w:t xml:space="preserve"> </w:t>
      </w:r>
      <w:r w:rsidR="00F47970" w:rsidRPr="00DA6592">
        <w:rPr>
          <w:rFonts w:asciiTheme="minorHAnsi" w:hAnsiTheme="minorHAnsi" w:cstheme="minorHAnsi"/>
        </w:rPr>
        <w:t>The</w:t>
      </w:r>
      <w:r w:rsidR="00FB2934" w:rsidRPr="00DA6592">
        <w:rPr>
          <w:rFonts w:asciiTheme="minorHAnsi" w:hAnsiTheme="minorHAnsi" w:cstheme="minorHAnsi"/>
        </w:rPr>
        <w:t xml:space="preserve"> standards use the same metric as the </w:t>
      </w:r>
      <w:r w:rsidR="00613444" w:rsidRPr="00DA6592">
        <w:rPr>
          <w:rFonts w:asciiTheme="minorHAnsi" w:hAnsiTheme="minorHAnsi" w:cstheme="minorHAnsi"/>
        </w:rPr>
        <w:t>State</w:t>
      </w:r>
      <w:r w:rsidR="00FB2934" w:rsidRPr="00DA6592">
        <w:rPr>
          <w:rFonts w:asciiTheme="minorHAnsi" w:hAnsiTheme="minorHAnsi" w:cstheme="minorHAnsi"/>
        </w:rPr>
        <w:t xml:space="preserve"> </w:t>
      </w:r>
      <w:proofErr w:type="gramStart"/>
      <w:r w:rsidR="00FB2934" w:rsidRPr="00DA6592">
        <w:rPr>
          <w:rFonts w:asciiTheme="minorHAnsi" w:hAnsiTheme="minorHAnsi" w:cstheme="minorHAnsi"/>
        </w:rPr>
        <w:t>Code</w:t>
      </w:r>
      <w:proofErr w:type="gramEnd"/>
      <w:r w:rsidR="00FB2934" w:rsidRPr="00DA6592">
        <w:rPr>
          <w:rFonts w:asciiTheme="minorHAnsi" w:hAnsiTheme="minorHAnsi" w:cstheme="minorHAnsi"/>
        </w:rPr>
        <w:t xml:space="preserve"> so no changes are required to permitting procedures</w:t>
      </w:r>
      <w:r w:rsidR="00826226" w:rsidRPr="00DA6592">
        <w:rPr>
          <w:rFonts w:asciiTheme="minorHAnsi" w:hAnsiTheme="minorHAnsi" w:cstheme="minorHAnsi"/>
        </w:rPr>
        <w:t>, other than training.</w:t>
      </w:r>
      <w:r w:rsidR="00F42590" w:rsidRPr="00DA6592">
        <w:rPr>
          <w:rFonts w:asciiTheme="minorHAnsi" w:hAnsiTheme="minorHAnsi" w:cstheme="minorHAnsi"/>
        </w:rPr>
        <w:t xml:space="preserve"> </w:t>
      </w:r>
      <w:r w:rsidR="0044081D">
        <w:rPr>
          <w:rFonts w:asciiTheme="minorHAnsi" w:hAnsiTheme="minorHAnsi" w:cstheme="minorHAnsi"/>
        </w:rPr>
        <w:t xml:space="preserve">No cost assistance with training is available through </w:t>
      </w:r>
      <w:hyperlink r:id="rId18" w:history="1">
        <w:r w:rsidR="0044081D" w:rsidRPr="0044081D">
          <w:rPr>
            <w:rStyle w:val="Hyperlink"/>
            <w:rFonts w:asciiTheme="minorHAnsi" w:hAnsiTheme="minorHAnsi" w:cstheme="minorHAnsi"/>
          </w:rPr>
          <w:t>EnergyCodeAce.com</w:t>
        </w:r>
      </w:hyperlink>
      <w:r w:rsidR="0044081D">
        <w:rPr>
          <w:rFonts w:asciiTheme="minorHAnsi" w:hAnsiTheme="minorHAnsi" w:cstheme="minorHAnsi"/>
        </w:rPr>
        <w:t xml:space="preserve">. </w:t>
      </w:r>
      <w:r w:rsidR="00FB2934" w:rsidRPr="00DA6592">
        <w:rPr>
          <w:rFonts w:asciiTheme="minorHAnsi" w:hAnsiTheme="minorHAnsi" w:cstheme="minorHAnsi"/>
        </w:rPr>
        <w:t xml:space="preserve">Some outreach to affected stakeholders will be needed and some permit application forms </w:t>
      </w:r>
      <w:r w:rsidRPr="00DA6592">
        <w:rPr>
          <w:rFonts w:asciiTheme="minorHAnsi" w:hAnsiTheme="minorHAnsi" w:cstheme="minorHAnsi"/>
        </w:rPr>
        <w:t>may</w:t>
      </w:r>
      <w:r w:rsidR="00FB2934" w:rsidRPr="00DA6592">
        <w:rPr>
          <w:rFonts w:asciiTheme="minorHAnsi" w:hAnsiTheme="minorHAnsi" w:cstheme="minorHAnsi"/>
        </w:rPr>
        <w:t xml:space="preserve"> need to be updated.</w:t>
      </w:r>
      <w:r w:rsidR="00F47970" w:rsidRPr="00DA6592">
        <w:rPr>
          <w:rFonts w:asciiTheme="minorHAnsi" w:hAnsiTheme="minorHAnsi" w:cstheme="minorHAnsi"/>
        </w:rPr>
        <w:t xml:space="preserve"> </w:t>
      </w:r>
    </w:p>
    <w:p w14:paraId="522E2691" w14:textId="77777777" w:rsidR="00FF6162" w:rsidRPr="00DA6592" w:rsidRDefault="00FF6162" w:rsidP="00887E62">
      <w:pPr>
        <w:rPr>
          <w:rFonts w:asciiTheme="minorHAnsi" w:hAnsiTheme="minorHAnsi" w:cstheme="minorHAnsi"/>
        </w:rPr>
      </w:pPr>
    </w:p>
    <w:p w14:paraId="6B41A8A0" w14:textId="765D8608" w:rsidR="0025364F" w:rsidRPr="00DA6592" w:rsidRDefault="00835044" w:rsidP="00887E62">
      <w:pPr>
        <w:rPr>
          <w:rFonts w:asciiTheme="minorHAnsi" w:hAnsiTheme="minorHAnsi" w:cstheme="minorHAnsi"/>
        </w:rPr>
      </w:pPr>
      <w:r w:rsidRPr="00DA6592">
        <w:rPr>
          <w:rFonts w:asciiTheme="minorHAnsi" w:hAnsiTheme="minorHAnsi" w:cstheme="minorHAnsi"/>
        </w:rPr>
        <w:t xml:space="preserve">Model ordinance language is available at </w:t>
      </w:r>
      <w:hyperlink r:id="rId19" w:history="1">
        <w:r w:rsidRPr="00DA6592">
          <w:rPr>
            <w:rStyle w:val="Hyperlink"/>
            <w:rFonts w:asciiTheme="minorHAnsi" w:hAnsiTheme="minorHAnsi" w:cstheme="minorHAnsi"/>
          </w:rPr>
          <w:t>LocalEnergyCodes.com</w:t>
        </w:r>
      </w:hyperlink>
      <w:r w:rsidRPr="00DA6592">
        <w:rPr>
          <w:rFonts w:asciiTheme="minorHAnsi" w:hAnsiTheme="minorHAnsi" w:cstheme="minorHAnsi"/>
        </w:rPr>
        <w:t>.</w:t>
      </w:r>
      <w:r w:rsidR="00EE754A" w:rsidRPr="00DA6592">
        <w:rPr>
          <w:rFonts w:asciiTheme="minorHAnsi" w:hAnsiTheme="minorHAnsi" w:cstheme="minorHAnsi"/>
        </w:rPr>
        <w:t xml:space="preserve"> For more information on this topic, or for assistance in developing a reach code, please contact </w:t>
      </w:r>
      <w:hyperlink r:id="rId20" w:history="1">
        <w:r w:rsidR="00EE754A" w:rsidRPr="00DA6592">
          <w:rPr>
            <w:rStyle w:val="Hyperlink"/>
            <w:rFonts w:asciiTheme="minorHAnsi" w:hAnsiTheme="minorHAnsi" w:cstheme="minorHAnsi"/>
          </w:rPr>
          <w:t>LocalEnergyCodes.com</w:t>
        </w:r>
      </w:hyperlink>
      <w:r w:rsidR="00EE754A" w:rsidRPr="00DA6592">
        <w:rPr>
          <w:rFonts w:asciiTheme="minorHAnsi" w:hAnsiTheme="minorHAnsi" w:cstheme="minorHAnsi"/>
        </w:rPr>
        <w:t xml:space="preserve"> for assistance.</w:t>
      </w:r>
    </w:p>
    <w:p w14:paraId="476E37DB" w14:textId="20F6BBE6" w:rsidR="00DB5856" w:rsidRDefault="00DB5856">
      <w:pPr>
        <w:spacing w:after="160" w:line="259" w:lineRule="auto"/>
        <w:rPr>
          <w:rFonts w:asciiTheme="minorHAnsi" w:hAnsiTheme="minorHAnsi" w:cstheme="minorHAnsi"/>
        </w:rPr>
      </w:pPr>
      <w:r>
        <w:rPr>
          <w:rFonts w:asciiTheme="minorHAnsi" w:hAnsiTheme="minorHAnsi" w:cstheme="minorHAnsi"/>
        </w:rPr>
        <w:br w:type="page"/>
      </w:r>
    </w:p>
    <w:p w14:paraId="7CAB0976" w14:textId="77777777" w:rsidR="00EE754A" w:rsidRPr="00E33CFF" w:rsidRDefault="00DB5856" w:rsidP="005A7787">
      <w:pPr>
        <w:pStyle w:val="Heading1"/>
        <w:rPr>
          <w:rFonts w:asciiTheme="minorHAnsi" w:hAnsiTheme="minorHAnsi" w:cstheme="minorHAnsi"/>
          <w:color w:val="3D728A"/>
        </w:rPr>
      </w:pPr>
      <w:r w:rsidRPr="00E33CFF">
        <w:rPr>
          <w:rFonts w:asciiTheme="minorHAnsi" w:hAnsiTheme="minorHAnsi" w:cstheme="minorHAnsi"/>
          <w:color w:val="3D728A"/>
        </w:rPr>
        <w:lastRenderedPageBreak/>
        <w:t>Attachment 1: Reasonable Margins</w:t>
      </w:r>
    </w:p>
    <w:p w14:paraId="6F74279F" w14:textId="77777777" w:rsidR="002E4C7C" w:rsidRPr="002E4C7C" w:rsidRDefault="002E4C7C" w:rsidP="002E4C7C">
      <w:pPr>
        <w:rPr>
          <w:rFonts w:asciiTheme="minorHAnsi" w:hAnsiTheme="minorHAnsi" w:cstheme="minorHAnsi"/>
        </w:rPr>
      </w:pPr>
      <w:r w:rsidRPr="002E4C7C">
        <w:rPr>
          <w:rFonts w:asciiTheme="minorHAnsi" w:hAnsiTheme="minorHAnsi" w:cstheme="minorHAnsi"/>
        </w:rPr>
        <w:t>The table below provides reasonable compliance margins that</w:t>
      </w:r>
      <w:r w:rsidRPr="00523E0E">
        <w:rPr>
          <w:rFonts w:asciiTheme="minorHAnsi" w:hAnsiTheme="minorHAnsi" w:cstheme="minorHAnsi"/>
        </w:rPr>
        <w:t>, consistent with state and federal regulations, can be achieved cost-effectively by both t</w:t>
      </w:r>
      <w:r w:rsidRPr="002E4C7C">
        <w:rPr>
          <w:rFonts w:asciiTheme="minorHAnsi" w:hAnsiTheme="minorHAnsi" w:cstheme="minorHAnsi"/>
        </w:rPr>
        <w:t>he all-electric and mixed-fuel designs and would not require the use of appliances that exceed Federal efficiency standards.</w:t>
      </w:r>
    </w:p>
    <w:p w14:paraId="6E09E521" w14:textId="77777777" w:rsidR="00701175" w:rsidRPr="00F8623F" w:rsidRDefault="00701175" w:rsidP="00701175">
      <w:pPr>
        <w:rPr>
          <w:rFonts w:cs="Calibri"/>
          <w:sz w:val="20"/>
          <w:szCs w:val="20"/>
        </w:rPr>
      </w:pP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2265"/>
        <w:gridCol w:w="2115"/>
        <w:gridCol w:w="1935"/>
        <w:gridCol w:w="1650"/>
      </w:tblGrid>
      <w:tr w:rsidR="007039EB" w:rsidRPr="00523E0E" w14:paraId="6F59A25D" w14:textId="77777777" w:rsidTr="4B960788">
        <w:trPr>
          <w:jc w:val="center"/>
        </w:trPr>
        <w:tc>
          <w:tcPr>
            <w:tcW w:w="1170" w:type="dxa"/>
            <w:vMerge w:val="restart"/>
            <w:shd w:val="clear" w:color="auto" w:fill="auto"/>
            <w:noWrap/>
            <w:vAlign w:val="center"/>
            <w:hideMark/>
          </w:tcPr>
          <w:p w14:paraId="5F207E3B" w14:textId="77777777" w:rsidR="007039EB" w:rsidRPr="009A5234" w:rsidRDefault="007039EB">
            <w:pPr>
              <w:autoSpaceDE w:val="0"/>
              <w:autoSpaceDN w:val="0"/>
              <w:adjustRightInd w:val="0"/>
              <w:jc w:val="center"/>
              <w:rPr>
                <w:rFonts w:asciiTheme="minorHAnsi" w:hAnsiTheme="minorHAnsi" w:cstheme="minorHAnsi"/>
                <w:b/>
                <w:bCs/>
                <w:color w:val="000000"/>
              </w:rPr>
            </w:pPr>
            <w:r w:rsidRPr="009A5234">
              <w:rPr>
                <w:rFonts w:asciiTheme="minorHAnsi" w:hAnsiTheme="minorHAnsi" w:cstheme="minorHAnsi"/>
                <w:b/>
                <w:bCs/>
                <w:color w:val="000000"/>
              </w:rPr>
              <w:t>Climate Zone</w:t>
            </w:r>
          </w:p>
        </w:tc>
        <w:tc>
          <w:tcPr>
            <w:tcW w:w="2265" w:type="dxa"/>
            <w:vMerge w:val="restart"/>
            <w:shd w:val="clear" w:color="auto" w:fill="auto"/>
            <w:noWrap/>
            <w:vAlign w:val="center"/>
            <w:hideMark/>
          </w:tcPr>
          <w:p w14:paraId="7C9795C4" w14:textId="77777777" w:rsidR="007039EB" w:rsidRPr="009A5234" w:rsidRDefault="007039EB">
            <w:pPr>
              <w:autoSpaceDE w:val="0"/>
              <w:autoSpaceDN w:val="0"/>
              <w:adjustRightInd w:val="0"/>
              <w:jc w:val="center"/>
              <w:rPr>
                <w:rFonts w:asciiTheme="minorHAnsi" w:hAnsiTheme="minorHAnsi" w:cstheme="minorHAnsi"/>
                <w:b/>
                <w:bCs/>
                <w:color w:val="000000"/>
              </w:rPr>
            </w:pPr>
            <w:r w:rsidRPr="009A5234">
              <w:rPr>
                <w:rFonts w:asciiTheme="minorHAnsi" w:hAnsiTheme="minorHAnsi" w:cstheme="minorHAnsi"/>
                <w:b/>
                <w:bCs/>
                <w:color w:val="000000"/>
              </w:rPr>
              <w:t>Utility</w:t>
            </w:r>
          </w:p>
        </w:tc>
        <w:tc>
          <w:tcPr>
            <w:tcW w:w="4050" w:type="dxa"/>
            <w:gridSpan w:val="2"/>
            <w:shd w:val="clear" w:color="auto" w:fill="auto"/>
            <w:noWrap/>
            <w:vAlign w:val="center"/>
            <w:hideMark/>
          </w:tcPr>
          <w:p w14:paraId="5E597577" w14:textId="77777777" w:rsidR="007039EB" w:rsidRPr="009A5234" w:rsidRDefault="007039EB">
            <w:pPr>
              <w:autoSpaceDE w:val="0"/>
              <w:autoSpaceDN w:val="0"/>
              <w:adjustRightInd w:val="0"/>
              <w:jc w:val="center"/>
              <w:rPr>
                <w:rFonts w:asciiTheme="minorHAnsi" w:hAnsiTheme="minorHAnsi" w:cstheme="minorHAnsi"/>
                <w:b/>
                <w:bCs/>
                <w:color w:val="000000"/>
              </w:rPr>
            </w:pPr>
            <w:r w:rsidRPr="009A5234">
              <w:rPr>
                <w:rFonts w:asciiTheme="minorHAnsi" w:hAnsiTheme="minorHAnsi" w:cstheme="minorHAnsi"/>
                <w:b/>
                <w:bCs/>
                <w:color w:val="000000"/>
              </w:rPr>
              <w:t>Single Family</w:t>
            </w:r>
          </w:p>
        </w:tc>
        <w:tc>
          <w:tcPr>
            <w:tcW w:w="1650" w:type="dxa"/>
            <w:vMerge w:val="restart"/>
            <w:shd w:val="clear" w:color="auto" w:fill="auto"/>
            <w:noWrap/>
            <w:vAlign w:val="center"/>
            <w:hideMark/>
          </w:tcPr>
          <w:p w14:paraId="28FC3A69" w14:textId="77777777" w:rsidR="007039EB" w:rsidRPr="009A5234" w:rsidRDefault="007039EB">
            <w:pPr>
              <w:autoSpaceDE w:val="0"/>
              <w:autoSpaceDN w:val="0"/>
              <w:adjustRightInd w:val="0"/>
              <w:jc w:val="center"/>
              <w:rPr>
                <w:rFonts w:asciiTheme="minorHAnsi" w:hAnsiTheme="minorHAnsi" w:cstheme="minorHAnsi"/>
                <w:b/>
                <w:bCs/>
                <w:color w:val="000000"/>
              </w:rPr>
            </w:pPr>
            <w:r w:rsidRPr="009A5234">
              <w:rPr>
                <w:rFonts w:asciiTheme="minorHAnsi" w:hAnsiTheme="minorHAnsi" w:cstheme="minorHAnsi"/>
                <w:b/>
                <w:bCs/>
                <w:color w:val="000000"/>
              </w:rPr>
              <w:t>Low-Rise Multifamily</w:t>
            </w:r>
          </w:p>
        </w:tc>
      </w:tr>
      <w:tr w:rsidR="007039EB" w:rsidRPr="00523E0E" w14:paraId="7189BBA3" w14:textId="77777777" w:rsidTr="4B960788">
        <w:trPr>
          <w:jc w:val="center"/>
        </w:trPr>
        <w:tc>
          <w:tcPr>
            <w:tcW w:w="1170" w:type="dxa"/>
            <w:vMerge/>
            <w:noWrap/>
            <w:vAlign w:val="bottom"/>
            <w:hideMark/>
          </w:tcPr>
          <w:p w14:paraId="5CB6A9EB"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p>
        </w:tc>
        <w:tc>
          <w:tcPr>
            <w:tcW w:w="2265" w:type="dxa"/>
            <w:vMerge/>
            <w:noWrap/>
            <w:vAlign w:val="bottom"/>
            <w:hideMark/>
          </w:tcPr>
          <w:p w14:paraId="66A17802"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p>
        </w:tc>
        <w:tc>
          <w:tcPr>
            <w:tcW w:w="2115" w:type="dxa"/>
            <w:shd w:val="clear" w:color="auto" w:fill="auto"/>
            <w:noWrap/>
            <w:vAlign w:val="center"/>
            <w:hideMark/>
          </w:tcPr>
          <w:p w14:paraId="5B85C42F" w14:textId="48BA8699" w:rsidR="007039EB" w:rsidRPr="00273C0D" w:rsidRDefault="46D9DF1A" w:rsidP="4B960788">
            <w:pPr>
              <w:jc w:val="center"/>
              <w:rPr>
                <w:rFonts w:asciiTheme="minorHAnsi" w:eastAsiaTheme="minorEastAsia" w:hAnsiTheme="minorHAnsi" w:cstheme="minorBidi"/>
                <w:b/>
              </w:rPr>
            </w:pPr>
            <w:r w:rsidRPr="4B960788">
              <w:rPr>
                <w:rFonts w:asciiTheme="minorHAnsi" w:eastAsiaTheme="minorEastAsia" w:hAnsiTheme="minorHAnsi" w:cstheme="minorBidi"/>
                <w:b/>
                <w:bCs/>
              </w:rPr>
              <w:t>≥</w:t>
            </w:r>
            <w:r w:rsidR="464B591D" w:rsidRPr="4B960788">
              <w:rPr>
                <w:rFonts w:asciiTheme="minorHAnsi" w:eastAsiaTheme="minorEastAsia" w:hAnsiTheme="minorHAnsi" w:cstheme="minorBidi"/>
                <w:b/>
                <w:bCs/>
              </w:rPr>
              <w:t xml:space="preserve"> </w:t>
            </w:r>
            <w:r w:rsidRPr="4B960788">
              <w:rPr>
                <w:rFonts w:asciiTheme="minorHAnsi" w:eastAsiaTheme="minorEastAsia" w:hAnsiTheme="minorHAnsi" w:cstheme="minorBidi"/>
                <w:b/>
                <w:bCs/>
              </w:rPr>
              <w:t>1500 sf</w:t>
            </w:r>
          </w:p>
        </w:tc>
        <w:tc>
          <w:tcPr>
            <w:tcW w:w="1935" w:type="dxa"/>
            <w:shd w:val="clear" w:color="auto" w:fill="auto"/>
            <w:noWrap/>
            <w:vAlign w:val="center"/>
            <w:hideMark/>
          </w:tcPr>
          <w:p w14:paraId="35C428A6" w14:textId="693D5CAD" w:rsidR="007039EB" w:rsidRPr="009A5234" w:rsidRDefault="2099378A">
            <w:pPr>
              <w:autoSpaceDE w:val="0"/>
              <w:autoSpaceDN w:val="0"/>
              <w:adjustRightInd w:val="0"/>
              <w:jc w:val="center"/>
              <w:rPr>
                <w:rFonts w:asciiTheme="minorHAnsi" w:hAnsiTheme="minorHAnsi" w:cstheme="minorBidi"/>
                <w:b/>
                <w:color w:val="000000"/>
              </w:rPr>
            </w:pPr>
            <w:r w:rsidRPr="6EB262F3">
              <w:rPr>
                <w:rFonts w:asciiTheme="minorHAnsi" w:hAnsiTheme="minorHAnsi" w:cstheme="minorBidi"/>
                <w:b/>
                <w:bCs/>
                <w:color w:val="000000" w:themeColor="text1"/>
              </w:rPr>
              <w:t>&lt;</w:t>
            </w:r>
            <w:r w:rsidR="0F7AB8FE" w:rsidRPr="6EB262F3">
              <w:rPr>
                <w:rFonts w:asciiTheme="minorHAnsi" w:hAnsiTheme="minorHAnsi" w:cstheme="minorBidi"/>
                <w:b/>
                <w:bCs/>
                <w:color w:val="000000" w:themeColor="text1"/>
              </w:rPr>
              <w:t xml:space="preserve"> </w:t>
            </w:r>
            <w:r w:rsidRPr="6EB262F3">
              <w:rPr>
                <w:rFonts w:asciiTheme="minorHAnsi" w:hAnsiTheme="minorHAnsi" w:cstheme="minorBidi"/>
                <w:b/>
                <w:bCs/>
                <w:color w:val="000000" w:themeColor="text1"/>
              </w:rPr>
              <w:t>1500 sf</w:t>
            </w:r>
          </w:p>
        </w:tc>
        <w:tc>
          <w:tcPr>
            <w:tcW w:w="1650" w:type="dxa"/>
            <w:vMerge/>
            <w:noWrap/>
            <w:vAlign w:val="center"/>
            <w:hideMark/>
          </w:tcPr>
          <w:p w14:paraId="41583F85"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p>
        </w:tc>
      </w:tr>
      <w:tr w:rsidR="007039EB" w:rsidRPr="00523E0E" w14:paraId="2EF26122" w14:textId="77777777" w:rsidTr="4B960788">
        <w:trPr>
          <w:trHeight w:hRule="exact" w:val="360"/>
          <w:jc w:val="center"/>
        </w:trPr>
        <w:tc>
          <w:tcPr>
            <w:tcW w:w="1170" w:type="dxa"/>
            <w:shd w:val="clear" w:color="auto" w:fill="auto"/>
            <w:noWrap/>
            <w:vAlign w:val="bottom"/>
            <w:hideMark/>
          </w:tcPr>
          <w:p w14:paraId="4BF052C0"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w:t>
            </w:r>
          </w:p>
        </w:tc>
        <w:tc>
          <w:tcPr>
            <w:tcW w:w="2265" w:type="dxa"/>
            <w:shd w:val="clear" w:color="auto" w:fill="auto"/>
            <w:noWrap/>
            <w:vAlign w:val="bottom"/>
            <w:hideMark/>
          </w:tcPr>
          <w:p w14:paraId="5DA37739"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6321BFFD"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22.0</w:t>
            </w:r>
          </w:p>
        </w:tc>
        <w:tc>
          <w:tcPr>
            <w:tcW w:w="1935" w:type="dxa"/>
            <w:shd w:val="clear" w:color="auto" w:fill="auto"/>
            <w:noWrap/>
            <w:vAlign w:val="bottom"/>
            <w:hideMark/>
          </w:tcPr>
          <w:p w14:paraId="20CF3789"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48924874"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15%</w:t>
            </w:r>
          </w:p>
        </w:tc>
      </w:tr>
      <w:tr w:rsidR="007039EB" w:rsidRPr="00523E0E" w14:paraId="630D35E3" w14:textId="77777777" w:rsidTr="4B960788">
        <w:trPr>
          <w:trHeight w:hRule="exact" w:val="360"/>
          <w:jc w:val="center"/>
        </w:trPr>
        <w:tc>
          <w:tcPr>
            <w:tcW w:w="1170" w:type="dxa"/>
            <w:shd w:val="clear" w:color="auto" w:fill="auto"/>
            <w:noWrap/>
            <w:vAlign w:val="bottom"/>
            <w:hideMark/>
          </w:tcPr>
          <w:p w14:paraId="23852AC6"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2</w:t>
            </w:r>
          </w:p>
        </w:tc>
        <w:tc>
          <w:tcPr>
            <w:tcW w:w="2265" w:type="dxa"/>
            <w:shd w:val="clear" w:color="auto" w:fill="auto"/>
            <w:noWrap/>
            <w:vAlign w:val="bottom"/>
            <w:hideMark/>
          </w:tcPr>
          <w:p w14:paraId="46C6A41A"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4D925FCC"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13.0</w:t>
            </w:r>
          </w:p>
        </w:tc>
        <w:tc>
          <w:tcPr>
            <w:tcW w:w="1935" w:type="dxa"/>
            <w:shd w:val="clear" w:color="auto" w:fill="auto"/>
            <w:noWrap/>
            <w:vAlign w:val="bottom"/>
            <w:hideMark/>
          </w:tcPr>
          <w:p w14:paraId="0371F399"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7.9</w:t>
            </w:r>
          </w:p>
        </w:tc>
        <w:tc>
          <w:tcPr>
            <w:tcW w:w="1650" w:type="dxa"/>
            <w:shd w:val="clear" w:color="auto" w:fill="auto"/>
            <w:noWrap/>
            <w:vAlign w:val="bottom"/>
            <w:hideMark/>
          </w:tcPr>
          <w:p w14:paraId="459AE9EE"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10%</w:t>
            </w:r>
          </w:p>
        </w:tc>
      </w:tr>
      <w:tr w:rsidR="007039EB" w:rsidRPr="00523E0E" w14:paraId="23BC3303" w14:textId="77777777" w:rsidTr="4B960788">
        <w:trPr>
          <w:trHeight w:hRule="exact" w:val="360"/>
          <w:jc w:val="center"/>
        </w:trPr>
        <w:tc>
          <w:tcPr>
            <w:tcW w:w="1170" w:type="dxa"/>
            <w:shd w:val="clear" w:color="auto" w:fill="auto"/>
            <w:noWrap/>
            <w:vAlign w:val="bottom"/>
            <w:hideMark/>
          </w:tcPr>
          <w:p w14:paraId="0CD92AEC"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3</w:t>
            </w:r>
          </w:p>
        </w:tc>
        <w:tc>
          <w:tcPr>
            <w:tcW w:w="2265" w:type="dxa"/>
            <w:shd w:val="clear" w:color="auto" w:fill="auto"/>
            <w:noWrap/>
            <w:vAlign w:val="bottom"/>
            <w:hideMark/>
          </w:tcPr>
          <w:p w14:paraId="025050F7"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5E3ED42B"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8.0</w:t>
            </w:r>
          </w:p>
        </w:tc>
        <w:tc>
          <w:tcPr>
            <w:tcW w:w="1935" w:type="dxa"/>
            <w:shd w:val="clear" w:color="auto" w:fill="auto"/>
            <w:noWrap/>
            <w:vAlign w:val="bottom"/>
            <w:hideMark/>
          </w:tcPr>
          <w:p w14:paraId="2B5E578E"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5D51BC93"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10%</w:t>
            </w:r>
          </w:p>
        </w:tc>
      </w:tr>
      <w:tr w:rsidR="007039EB" w:rsidRPr="00523E0E" w14:paraId="6AB00915" w14:textId="77777777" w:rsidTr="4B960788">
        <w:trPr>
          <w:trHeight w:hRule="exact" w:val="360"/>
          <w:jc w:val="center"/>
        </w:trPr>
        <w:tc>
          <w:tcPr>
            <w:tcW w:w="1170" w:type="dxa"/>
            <w:shd w:val="clear" w:color="auto" w:fill="auto"/>
            <w:noWrap/>
            <w:vAlign w:val="bottom"/>
            <w:hideMark/>
          </w:tcPr>
          <w:p w14:paraId="05FDCB3E"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4</w:t>
            </w:r>
          </w:p>
        </w:tc>
        <w:tc>
          <w:tcPr>
            <w:tcW w:w="2265" w:type="dxa"/>
            <w:shd w:val="clear" w:color="auto" w:fill="auto"/>
            <w:noWrap/>
            <w:vAlign w:val="bottom"/>
            <w:hideMark/>
          </w:tcPr>
          <w:p w14:paraId="746AB222"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CPAU</w:t>
            </w:r>
          </w:p>
        </w:tc>
        <w:tc>
          <w:tcPr>
            <w:tcW w:w="2115" w:type="dxa"/>
            <w:shd w:val="clear" w:color="auto" w:fill="auto"/>
            <w:noWrap/>
            <w:vAlign w:val="bottom"/>
            <w:hideMark/>
          </w:tcPr>
          <w:p w14:paraId="3C40AD6D"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935" w:type="dxa"/>
            <w:shd w:val="clear" w:color="auto" w:fill="auto"/>
            <w:noWrap/>
            <w:vAlign w:val="bottom"/>
            <w:hideMark/>
          </w:tcPr>
          <w:p w14:paraId="1849F7CE"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68B45F11"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8%</w:t>
            </w:r>
          </w:p>
        </w:tc>
      </w:tr>
      <w:tr w:rsidR="007039EB" w:rsidRPr="00523E0E" w14:paraId="0D659BF3" w14:textId="77777777" w:rsidTr="4B960788">
        <w:trPr>
          <w:trHeight w:hRule="exact" w:val="360"/>
          <w:jc w:val="center"/>
        </w:trPr>
        <w:tc>
          <w:tcPr>
            <w:tcW w:w="1170" w:type="dxa"/>
            <w:shd w:val="clear" w:color="auto" w:fill="auto"/>
            <w:noWrap/>
            <w:vAlign w:val="bottom"/>
            <w:hideMark/>
          </w:tcPr>
          <w:p w14:paraId="7E5958C5"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4</w:t>
            </w:r>
          </w:p>
        </w:tc>
        <w:tc>
          <w:tcPr>
            <w:tcW w:w="2265" w:type="dxa"/>
            <w:shd w:val="clear" w:color="auto" w:fill="auto"/>
            <w:noWrap/>
            <w:vAlign w:val="bottom"/>
            <w:hideMark/>
          </w:tcPr>
          <w:p w14:paraId="44AF7E38"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1B89FF8A"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8.0</w:t>
            </w:r>
          </w:p>
        </w:tc>
        <w:tc>
          <w:tcPr>
            <w:tcW w:w="1935" w:type="dxa"/>
            <w:shd w:val="clear" w:color="auto" w:fill="auto"/>
            <w:noWrap/>
            <w:vAlign w:val="bottom"/>
            <w:hideMark/>
          </w:tcPr>
          <w:p w14:paraId="181D18C4"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2F4BE38E"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8%</w:t>
            </w:r>
          </w:p>
        </w:tc>
      </w:tr>
      <w:tr w:rsidR="007039EB" w:rsidRPr="00523E0E" w14:paraId="1A4E2C0B" w14:textId="77777777" w:rsidTr="4B960788">
        <w:trPr>
          <w:trHeight w:hRule="exact" w:val="360"/>
          <w:jc w:val="center"/>
        </w:trPr>
        <w:tc>
          <w:tcPr>
            <w:tcW w:w="1170" w:type="dxa"/>
            <w:shd w:val="clear" w:color="auto" w:fill="auto"/>
            <w:noWrap/>
            <w:vAlign w:val="bottom"/>
            <w:hideMark/>
          </w:tcPr>
          <w:p w14:paraId="0E1C7932"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5</w:t>
            </w:r>
          </w:p>
        </w:tc>
        <w:tc>
          <w:tcPr>
            <w:tcW w:w="2265" w:type="dxa"/>
            <w:shd w:val="clear" w:color="auto" w:fill="auto"/>
            <w:noWrap/>
            <w:vAlign w:val="bottom"/>
            <w:hideMark/>
          </w:tcPr>
          <w:p w14:paraId="75622450"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51181742"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7.0</w:t>
            </w:r>
          </w:p>
        </w:tc>
        <w:tc>
          <w:tcPr>
            <w:tcW w:w="1935" w:type="dxa"/>
            <w:shd w:val="clear" w:color="auto" w:fill="auto"/>
            <w:noWrap/>
            <w:vAlign w:val="bottom"/>
            <w:hideMark/>
          </w:tcPr>
          <w:p w14:paraId="2441251B"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2.9</w:t>
            </w:r>
          </w:p>
        </w:tc>
        <w:tc>
          <w:tcPr>
            <w:tcW w:w="1650" w:type="dxa"/>
            <w:shd w:val="clear" w:color="auto" w:fill="auto"/>
            <w:noWrap/>
            <w:vAlign w:val="bottom"/>
            <w:hideMark/>
          </w:tcPr>
          <w:p w14:paraId="72394663"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9%</w:t>
            </w:r>
          </w:p>
        </w:tc>
      </w:tr>
      <w:tr w:rsidR="007039EB" w:rsidRPr="00523E0E" w14:paraId="7B7E319D" w14:textId="77777777" w:rsidTr="4B960788">
        <w:trPr>
          <w:trHeight w:hRule="exact" w:val="360"/>
          <w:jc w:val="center"/>
        </w:trPr>
        <w:tc>
          <w:tcPr>
            <w:tcW w:w="1170" w:type="dxa"/>
            <w:shd w:val="clear" w:color="auto" w:fill="auto"/>
            <w:noWrap/>
            <w:vAlign w:val="bottom"/>
            <w:hideMark/>
          </w:tcPr>
          <w:p w14:paraId="43FC6103"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5</w:t>
            </w:r>
          </w:p>
        </w:tc>
        <w:tc>
          <w:tcPr>
            <w:tcW w:w="2265" w:type="dxa"/>
            <w:shd w:val="clear" w:color="auto" w:fill="auto"/>
            <w:noWrap/>
            <w:vAlign w:val="bottom"/>
            <w:hideMark/>
          </w:tcPr>
          <w:p w14:paraId="442280B6"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PGE/SCG</w:t>
            </w:r>
          </w:p>
        </w:tc>
        <w:tc>
          <w:tcPr>
            <w:tcW w:w="2115" w:type="dxa"/>
            <w:shd w:val="clear" w:color="auto" w:fill="auto"/>
            <w:noWrap/>
            <w:vAlign w:val="bottom"/>
            <w:hideMark/>
          </w:tcPr>
          <w:p w14:paraId="7AB0B109"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7.0</w:t>
            </w:r>
          </w:p>
        </w:tc>
        <w:tc>
          <w:tcPr>
            <w:tcW w:w="1935" w:type="dxa"/>
            <w:shd w:val="clear" w:color="auto" w:fill="auto"/>
            <w:noWrap/>
            <w:vAlign w:val="bottom"/>
            <w:hideMark/>
          </w:tcPr>
          <w:p w14:paraId="6784AE30"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2.9</w:t>
            </w:r>
          </w:p>
        </w:tc>
        <w:tc>
          <w:tcPr>
            <w:tcW w:w="1650" w:type="dxa"/>
            <w:shd w:val="clear" w:color="auto" w:fill="auto"/>
            <w:noWrap/>
            <w:vAlign w:val="bottom"/>
            <w:hideMark/>
          </w:tcPr>
          <w:p w14:paraId="681B544E"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9%</w:t>
            </w:r>
          </w:p>
        </w:tc>
      </w:tr>
      <w:tr w:rsidR="007039EB" w:rsidRPr="00523E0E" w14:paraId="4FFFDB11" w14:textId="77777777" w:rsidTr="4B960788">
        <w:trPr>
          <w:trHeight w:hRule="exact" w:val="360"/>
          <w:jc w:val="center"/>
        </w:trPr>
        <w:tc>
          <w:tcPr>
            <w:tcW w:w="1170" w:type="dxa"/>
            <w:shd w:val="clear" w:color="auto" w:fill="auto"/>
            <w:noWrap/>
            <w:vAlign w:val="bottom"/>
            <w:hideMark/>
          </w:tcPr>
          <w:p w14:paraId="334248D9"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6</w:t>
            </w:r>
          </w:p>
        </w:tc>
        <w:tc>
          <w:tcPr>
            <w:tcW w:w="2265" w:type="dxa"/>
            <w:shd w:val="clear" w:color="auto" w:fill="auto"/>
            <w:noWrap/>
            <w:vAlign w:val="bottom"/>
            <w:hideMark/>
          </w:tcPr>
          <w:p w14:paraId="10F18D91"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SCE/SCG</w:t>
            </w:r>
          </w:p>
        </w:tc>
        <w:tc>
          <w:tcPr>
            <w:tcW w:w="2115" w:type="dxa"/>
            <w:shd w:val="clear" w:color="auto" w:fill="auto"/>
            <w:noWrap/>
            <w:vAlign w:val="bottom"/>
            <w:hideMark/>
          </w:tcPr>
          <w:p w14:paraId="1DD0BA43"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5.0</w:t>
            </w:r>
          </w:p>
        </w:tc>
        <w:tc>
          <w:tcPr>
            <w:tcW w:w="1935" w:type="dxa"/>
            <w:shd w:val="clear" w:color="auto" w:fill="auto"/>
            <w:noWrap/>
            <w:vAlign w:val="bottom"/>
            <w:hideMark/>
          </w:tcPr>
          <w:p w14:paraId="6B8653DC"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1B4C0F9E"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6%</w:t>
            </w:r>
          </w:p>
        </w:tc>
      </w:tr>
      <w:tr w:rsidR="007039EB" w:rsidRPr="00523E0E" w14:paraId="131CC7F4" w14:textId="77777777" w:rsidTr="4B960788">
        <w:trPr>
          <w:trHeight w:hRule="exact" w:val="360"/>
          <w:jc w:val="center"/>
        </w:trPr>
        <w:tc>
          <w:tcPr>
            <w:tcW w:w="1170" w:type="dxa"/>
            <w:shd w:val="clear" w:color="auto" w:fill="auto"/>
            <w:noWrap/>
            <w:vAlign w:val="bottom"/>
            <w:hideMark/>
          </w:tcPr>
          <w:p w14:paraId="2583FDA2"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7</w:t>
            </w:r>
          </w:p>
        </w:tc>
        <w:tc>
          <w:tcPr>
            <w:tcW w:w="2265" w:type="dxa"/>
            <w:shd w:val="clear" w:color="auto" w:fill="auto"/>
            <w:noWrap/>
            <w:vAlign w:val="bottom"/>
            <w:hideMark/>
          </w:tcPr>
          <w:p w14:paraId="53A5FD40"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SDGE</w:t>
            </w:r>
          </w:p>
        </w:tc>
        <w:tc>
          <w:tcPr>
            <w:tcW w:w="2115" w:type="dxa"/>
            <w:shd w:val="clear" w:color="auto" w:fill="auto"/>
            <w:noWrap/>
            <w:vAlign w:val="bottom"/>
            <w:hideMark/>
          </w:tcPr>
          <w:p w14:paraId="21F17271"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4.5</w:t>
            </w:r>
          </w:p>
        </w:tc>
        <w:tc>
          <w:tcPr>
            <w:tcW w:w="1935" w:type="dxa"/>
            <w:shd w:val="clear" w:color="auto" w:fill="auto"/>
            <w:noWrap/>
            <w:vAlign w:val="bottom"/>
            <w:hideMark/>
          </w:tcPr>
          <w:p w14:paraId="46C02BFF"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1.5</w:t>
            </w:r>
          </w:p>
        </w:tc>
        <w:tc>
          <w:tcPr>
            <w:tcW w:w="1650" w:type="dxa"/>
            <w:shd w:val="clear" w:color="auto" w:fill="auto"/>
            <w:noWrap/>
            <w:vAlign w:val="bottom"/>
            <w:hideMark/>
          </w:tcPr>
          <w:p w14:paraId="5564B266"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8%</w:t>
            </w:r>
          </w:p>
        </w:tc>
      </w:tr>
      <w:tr w:rsidR="007039EB" w:rsidRPr="00523E0E" w14:paraId="23BF704A" w14:textId="77777777" w:rsidTr="4B960788">
        <w:trPr>
          <w:trHeight w:hRule="exact" w:val="360"/>
          <w:jc w:val="center"/>
        </w:trPr>
        <w:tc>
          <w:tcPr>
            <w:tcW w:w="1170" w:type="dxa"/>
            <w:shd w:val="clear" w:color="auto" w:fill="auto"/>
            <w:noWrap/>
            <w:vAlign w:val="bottom"/>
            <w:hideMark/>
          </w:tcPr>
          <w:p w14:paraId="522F8766"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8</w:t>
            </w:r>
          </w:p>
        </w:tc>
        <w:tc>
          <w:tcPr>
            <w:tcW w:w="2265" w:type="dxa"/>
            <w:shd w:val="clear" w:color="auto" w:fill="auto"/>
            <w:noWrap/>
            <w:vAlign w:val="bottom"/>
            <w:hideMark/>
          </w:tcPr>
          <w:p w14:paraId="046A30E5"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SCE/SCG</w:t>
            </w:r>
          </w:p>
        </w:tc>
        <w:tc>
          <w:tcPr>
            <w:tcW w:w="2115" w:type="dxa"/>
            <w:shd w:val="clear" w:color="auto" w:fill="auto"/>
            <w:noWrap/>
            <w:vAlign w:val="bottom"/>
            <w:hideMark/>
          </w:tcPr>
          <w:p w14:paraId="78E276B0"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3.5</w:t>
            </w:r>
          </w:p>
        </w:tc>
        <w:tc>
          <w:tcPr>
            <w:tcW w:w="1935" w:type="dxa"/>
            <w:shd w:val="clear" w:color="auto" w:fill="auto"/>
            <w:noWrap/>
            <w:vAlign w:val="bottom"/>
            <w:hideMark/>
          </w:tcPr>
          <w:p w14:paraId="22F0324E"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1.5</w:t>
            </w:r>
          </w:p>
        </w:tc>
        <w:tc>
          <w:tcPr>
            <w:tcW w:w="1650" w:type="dxa"/>
            <w:shd w:val="clear" w:color="auto" w:fill="auto"/>
            <w:noWrap/>
            <w:vAlign w:val="bottom"/>
            <w:hideMark/>
          </w:tcPr>
          <w:p w14:paraId="73C69141"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5%</w:t>
            </w:r>
          </w:p>
        </w:tc>
      </w:tr>
      <w:tr w:rsidR="007039EB" w:rsidRPr="00523E0E" w14:paraId="123F0E5E" w14:textId="77777777" w:rsidTr="4B960788">
        <w:trPr>
          <w:trHeight w:hRule="exact" w:val="360"/>
          <w:jc w:val="center"/>
        </w:trPr>
        <w:tc>
          <w:tcPr>
            <w:tcW w:w="1170" w:type="dxa"/>
            <w:shd w:val="clear" w:color="auto" w:fill="auto"/>
            <w:noWrap/>
            <w:vAlign w:val="bottom"/>
            <w:hideMark/>
          </w:tcPr>
          <w:p w14:paraId="02437C29"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9</w:t>
            </w:r>
          </w:p>
        </w:tc>
        <w:tc>
          <w:tcPr>
            <w:tcW w:w="2265" w:type="dxa"/>
            <w:shd w:val="clear" w:color="auto" w:fill="auto"/>
            <w:noWrap/>
            <w:vAlign w:val="bottom"/>
            <w:hideMark/>
          </w:tcPr>
          <w:p w14:paraId="71FEE9FD"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SCE/SCG</w:t>
            </w:r>
          </w:p>
        </w:tc>
        <w:tc>
          <w:tcPr>
            <w:tcW w:w="2115" w:type="dxa"/>
            <w:shd w:val="clear" w:color="auto" w:fill="auto"/>
            <w:noWrap/>
            <w:vAlign w:val="bottom"/>
            <w:hideMark/>
          </w:tcPr>
          <w:p w14:paraId="5B63787C"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4.5</w:t>
            </w:r>
          </w:p>
        </w:tc>
        <w:tc>
          <w:tcPr>
            <w:tcW w:w="1935" w:type="dxa"/>
            <w:shd w:val="clear" w:color="auto" w:fill="auto"/>
            <w:noWrap/>
            <w:vAlign w:val="bottom"/>
            <w:hideMark/>
          </w:tcPr>
          <w:p w14:paraId="12121B45"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1.5</w:t>
            </w:r>
          </w:p>
        </w:tc>
        <w:tc>
          <w:tcPr>
            <w:tcW w:w="1650" w:type="dxa"/>
            <w:shd w:val="clear" w:color="auto" w:fill="auto"/>
            <w:noWrap/>
            <w:vAlign w:val="bottom"/>
            <w:hideMark/>
          </w:tcPr>
          <w:p w14:paraId="5BACE0F5"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5%</w:t>
            </w:r>
          </w:p>
        </w:tc>
      </w:tr>
      <w:tr w:rsidR="007039EB" w:rsidRPr="00523E0E" w14:paraId="45CFCA32" w14:textId="77777777" w:rsidTr="4B960788">
        <w:trPr>
          <w:trHeight w:hRule="exact" w:val="360"/>
          <w:jc w:val="center"/>
        </w:trPr>
        <w:tc>
          <w:tcPr>
            <w:tcW w:w="1170" w:type="dxa"/>
            <w:shd w:val="clear" w:color="auto" w:fill="auto"/>
            <w:noWrap/>
            <w:vAlign w:val="bottom"/>
            <w:hideMark/>
          </w:tcPr>
          <w:p w14:paraId="1816ED30"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10</w:t>
            </w:r>
          </w:p>
        </w:tc>
        <w:tc>
          <w:tcPr>
            <w:tcW w:w="2265" w:type="dxa"/>
            <w:shd w:val="clear" w:color="auto" w:fill="auto"/>
            <w:noWrap/>
            <w:vAlign w:val="bottom"/>
            <w:hideMark/>
          </w:tcPr>
          <w:p w14:paraId="42961764"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SCE/SCG</w:t>
            </w:r>
          </w:p>
        </w:tc>
        <w:tc>
          <w:tcPr>
            <w:tcW w:w="2115" w:type="dxa"/>
            <w:shd w:val="clear" w:color="auto" w:fill="auto"/>
            <w:noWrap/>
            <w:vAlign w:val="bottom"/>
            <w:hideMark/>
          </w:tcPr>
          <w:p w14:paraId="130C1FB6"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5.0</w:t>
            </w:r>
          </w:p>
        </w:tc>
        <w:tc>
          <w:tcPr>
            <w:tcW w:w="1935" w:type="dxa"/>
            <w:shd w:val="clear" w:color="auto" w:fill="auto"/>
            <w:noWrap/>
            <w:vAlign w:val="bottom"/>
            <w:hideMark/>
          </w:tcPr>
          <w:p w14:paraId="53294E6D"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72B2861C"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7%</w:t>
            </w:r>
          </w:p>
        </w:tc>
      </w:tr>
      <w:tr w:rsidR="007039EB" w:rsidRPr="00523E0E" w14:paraId="6DB606CE" w14:textId="77777777" w:rsidTr="4B960788">
        <w:trPr>
          <w:trHeight w:hRule="exact" w:val="360"/>
          <w:jc w:val="center"/>
        </w:trPr>
        <w:tc>
          <w:tcPr>
            <w:tcW w:w="1170" w:type="dxa"/>
            <w:shd w:val="clear" w:color="auto" w:fill="auto"/>
            <w:noWrap/>
            <w:vAlign w:val="bottom"/>
            <w:hideMark/>
          </w:tcPr>
          <w:p w14:paraId="4F8CBAE7"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10</w:t>
            </w:r>
          </w:p>
        </w:tc>
        <w:tc>
          <w:tcPr>
            <w:tcW w:w="2265" w:type="dxa"/>
            <w:shd w:val="clear" w:color="auto" w:fill="auto"/>
            <w:noWrap/>
            <w:vAlign w:val="bottom"/>
            <w:hideMark/>
          </w:tcPr>
          <w:p w14:paraId="64EB087B"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SDGE</w:t>
            </w:r>
          </w:p>
        </w:tc>
        <w:tc>
          <w:tcPr>
            <w:tcW w:w="2115" w:type="dxa"/>
            <w:shd w:val="clear" w:color="auto" w:fill="auto"/>
            <w:noWrap/>
            <w:vAlign w:val="bottom"/>
            <w:hideMark/>
          </w:tcPr>
          <w:p w14:paraId="27B14B59"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5.0</w:t>
            </w:r>
          </w:p>
        </w:tc>
        <w:tc>
          <w:tcPr>
            <w:tcW w:w="1935" w:type="dxa"/>
            <w:shd w:val="clear" w:color="auto" w:fill="auto"/>
            <w:noWrap/>
            <w:vAlign w:val="bottom"/>
            <w:hideMark/>
          </w:tcPr>
          <w:p w14:paraId="57A4680D"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2.5</w:t>
            </w:r>
          </w:p>
        </w:tc>
        <w:tc>
          <w:tcPr>
            <w:tcW w:w="1650" w:type="dxa"/>
            <w:shd w:val="clear" w:color="auto" w:fill="auto"/>
            <w:noWrap/>
            <w:vAlign w:val="bottom"/>
            <w:hideMark/>
          </w:tcPr>
          <w:p w14:paraId="5938A8F1"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7%</w:t>
            </w:r>
          </w:p>
        </w:tc>
      </w:tr>
      <w:tr w:rsidR="007039EB" w:rsidRPr="00523E0E" w14:paraId="324819C4" w14:textId="77777777" w:rsidTr="4B960788">
        <w:trPr>
          <w:trHeight w:hRule="exact" w:val="360"/>
          <w:jc w:val="center"/>
        </w:trPr>
        <w:tc>
          <w:tcPr>
            <w:tcW w:w="1170" w:type="dxa"/>
            <w:shd w:val="clear" w:color="auto" w:fill="auto"/>
            <w:noWrap/>
            <w:vAlign w:val="bottom"/>
            <w:hideMark/>
          </w:tcPr>
          <w:p w14:paraId="7B300432"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11</w:t>
            </w:r>
          </w:p>
        </w:tc>
        <w:tc>
          <w:tcPr>
            <w:tcW w:w="2265" w:type="dxa"/>
            <w:shd w:val="clear" w:color="auto" w:fill="auto"/>
            <w:noWrap/>
            <w:vAlign w:val="bottom"/>
            <w:hideMark/>
          </w:tcPr>
          <w:p w14:paraId="7C1DD9A3"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20333C93"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11.0</w:t>
            </w:r>
          </w:p>
        </w:tc>
        <w:tc>
          <w:tcPr>
            <w:tcW w:w="1935" w:type="dxa"/>
            <w:shd w:val="clear" w:color="auto" w:fill="auto"/>
            <w:noWrap/>
            <w:vAlign w:val="bottom"/>
            <w:hideMark/>
          </w:tcPr>
          <w:p w14:paraId="68A79EB4"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01804E4A"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10%</w:t>
            </w:r>
          </w:p>
        </w:tc>
      </w:tr>
      <w:tr w:rsidR="007039EB" w:rsidRPr="00523E0E" w14:paraId="794406D0" w14:textId="77777777" w:rsidTr="4B960788">
        <w:trPr>
          <w:trHeight w:hRule="exact" w:val="360"/>
          <w:jc w:val="center"/>
        </w:trPr>
        <w:tc>
          <w:tcPr>
            <w:tcW w:w="1170" w:type="dxa"/>
            <w:shd w:val="clear" w:color="auto" w:fill="auto"/>
            <w:noWrap/>
            <w:vAlign w:val="bottom"/>
            <w:hideMark/>
          </w:tcPr>
          <w:p w14:paraId="1311467B"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12</w:t>
            </w:r>
          </w:p>
        </w:tc>
        <w:tc>
          <w:tcPr>
            <w:tcW w:w="2265" w:type="dxa"/>
            <w:shd w:val="clear" w:color="auto" w:fill="auto"/>
            <w:noWrap/>
            <w:vAlign w:val="bottom"/>
            <w:hideMark/>
          </w:tcPr>
          <w:p w14:paraId="18C9863C"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062F67B5"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11.0</w:t>
            </w:r>
          </w:p>
        </w:tc>
        <w:tc>
          <w:tcPr>
            <w:tcW w:w="1935" w:type="dxa"/>
            <w:shd w:val="clear" w:color="auto" w:fill="auto"/>
            <w:noWrap/>
            <w:vAlign w:val="bottom"/>
            <w:hideMark/>
          </w:tcPr>
          <w:p w14:paraId="63AA338D"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6.6</w:t>
            </w:r>
          </w:p>
        </w:tc>
        <w:tc>
          <w:tcPr>
            <w:tcW w:w="1650" w:type="dxa"/>
            <w:shd w:val="clear" w:color="auto" w:fill="auto"/>
            <w:noWrap/>
            <w:vAlign w:val="bottom"/>
            <w:hideMark/>
          </w:tcPr>
          <w:p w14:paraId="1388918A"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10%</w:t>
            </w:r>
          </w:p>
        </w:tc>
      </w:tr>
      <w:tr w:rsidR="007039EB" w:rsidRPr="00523E0E" w14:paraId="35F5256B" w14:textId="77777777" w:rsidTr="4B960788">
        <w:trPr>
          <w:trHeight w:hRule="exact" w:val="360"/>
          <w:jc w:val="center"/>
        </w:trPr>
        <w:tc>
          <w:tcPr>
            <w:tcW w:w="1170" w:type="dxa"/>
            <w:shd w:val="clear" w:color="auto" w:fill="auto"/>
            <w:noWrap/>
            <w:vAlign w:val="bottom"/>
            <w:hideMark/>
          </w:tcPr>
          <w:p w14:paraId="41C655CB"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12</w:t>
            </w:r>
          </w:p>
        </w:tc>
        <w:tc>
          <w:tcPr>
            <w:tcW w:w="2265" w:type="dxa"/>
            <w:shd w:val="clear" w:color="auto" w:fill="auto"/>
            <w:noWrap/>
            <w:vAlign w:val="bottom"/>
            <w:hideMark/>
          </w:tcPr>
          <w:p w14:paraId="70D62CBA" w14:textId="6021E476" w:rsidR="007039EB" w:rsidRPr="00523E0E" w:rsidRDefault="007039EB">
            <w:pPr>
              <w:autoSpaceDE w:val="0"/>
              <w:autoSpaceDN w:val="0"/>
              <w:adjustRightInd w:val="0"/>
              <w:jc w:val="center"/>
              <w:rPr>
                <w:rFonts w:asciiTheme="minorHAnsi" w:hAnsiTheme="minorHAnsi" w:cstheme="minorBidi"/>
                <w:color w:val="000000"/>
                <w:sz w:val="22"/>
                <w:szCs w:val="22"/>
              </w:rPr>
            </w:pPr>
            <w:r w:rsidRPr="4B960788">
              <w:rPr>
                <w:rFonts w:asciiTheme="minorHAnsi" w:hAnsiTheme="minorHAnsi" w:cstheme="minorBidi"/>
                <w:color w:val="000000" w:themeColor="text1"/>
                <w:sz w:val="22"/>
                <w:szCs w:val="22"/>
              </w:rPr>
              <w:t>SMUD/PGE</w:t>
            </w:r>
          </w:p>
        </w:tc>
        <w:tc>
          <w:tcPr>
            <w:tcW w:w="2115" w:type="dxa"/>
            <w:shd w:val="clear" w:color="auto" w:fill="auto"/>
            <w:noWrap/>
            <w:vAlign w:val="bottom"/>
            <w:hideMark/>
          </w:tcPr>
          <w:p w14:paraId="637ECF8F"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935" w:type="dxa"/>
            <w:shd w:val="clear" w:color="auto" w:fill="auto"/>
            <w:noWrap/>
            <w:vAlign w:val="bottom"/>
            <w:hideMark/>
          </w:tcPr>
          <w:p w14:paraId="12ED81AF"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3C94DD28"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10%</w:t>
            </w:r>
          </w:p>
        </w:tc>
      </w:tr>
      <w:tr w:rsidR="007039EB" w:rsidRPr="00523E0E" w14:paraId="1C9C02DE" w14:textId="77777777" w:rsidTr="4B960788">
        <w:trPr>
          <w:trHeight w:hRule="exact" w:val="360"/>
          <w:jc w:val="center"/>
        </w:trPr>
        <w:tc>
          <w:tcPr>
            <w:tcW w:w="1170" w:type="dxa"/>
            <w:shd w:val="clear" w:color="auto" w:fill="auto"/>
            <w:noWrap/>
            <w:vAlign w:val="bottom"/>
            <w:hideMark/>
          </w:tcPr>
          <w:p w14:paraId="18A94434"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13</w:t>
            </w:r>
          </w:p>
        </w:tc>
        <w:tc>
          <w:tcPr>
            <w:tcW w:w="2265" w:type="dxa"/>
            <w:shd w:val="clear" w:color="auto" w:fill="auto"/>
            <w:noWrap/>
            <w:vAlign w:val="bottom"/>
            <w:hideMark/>
          </w:tcPr>
          <w:p w14:paraId="30AA3990"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0D6F0569"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8.0</w:t>
            </w:r>
          </w:p>
        </w:tc>
        <w:tc>
          <w:tcPr>
            <w:tcW w:w="1935" w:type="dxa"/>
            <w:shd w:val="clear" w:color="auto" w:fill="auto"/>
            <w:noWrap/>
            <w:vAlign w:val="bottom"/>
            <w:hideMark/>
          </w:tcPr>
          <w:p w14:paraId="772F342E"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68F1BAE6"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9%</w:t>
            </w:r>
          </w:p>
        </w:tc>
      </w:tr>
      <w:tr w:rsidR="007039EB" w:rsidRPr="00523E0E" w14:paraId="2D528DFB" w14:textId="77777777" w:rsidTr="4B960788">
        <w:trPr>
          <w:trHeight w:hRule="exact" w:val="360"/>
          <w:jc w:val="center"/>
        </w:trPr>
        <w:tc>
          <w:tcPr>
            <w:tcW w:w="1170" w:type="dxa"/>
            <w:shd w:val="clear" w:color="auto" w:fill="auto"/>
            <w:noWrap/>
            <w:vAlign w:val="bottom"/>
            <w:hideMark/>
          </w:tcPr>
          <w:p w14:paraId="2826B50C"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14</w:t>
            </w:r>
          </w:p>
        </w:tc>
        <w:tc>
          <w:tcPr>
            <w:tcW w:w="2265" w:type="dxa"/>
            <w:shd w:val="clear" w:color="auto" w:fill="auto"/>
            <w:noWrap/>
            <w:vAlign w:val="bottom"/>
            <w:hideMark/>
          </w:tcPr>
          <w:p w14:paraId="6FFC6240"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SCE/SCG</w:t>
            </w:r>
          </w:p>
        </w:tc>
        <w:tc>
          <w:tcPr>
            <w:tcW w:w="2115" w:type="dxa"/>
            <w:shd w:val="clear" w:color="auto" w:fill="auto"/>
            <w:noWrap/>
            <w:vAlign w:val="bottom"/>
            <w:hideMark/>
          </w:tcPr>
          <w:p w14:paraId="405229BC"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9.0</w:t>
            </w:r>
          </w:p>
        </w:tc>
        <w:tc>
          <w:tcPr>
            <w:tcW w:w="1935" w:type="dxa"/>
            <w:shd w:val="clear" w:color="auto" w:fill="auto"/>
            <w:noWrap/>
            <w:vAlign w:val="bottom"/>
            <w:hideMark/>
          </w:tcPr>
          <w:p w14:paraId="2B17EE22"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50176A37"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7%</w:t>
            </w:r>
          </w:p>
        </w:tc>
      </w:tr>
      <w:tr w:rsidR="007039EB" w:rsidRPr="00523E0E" w14:paraId="012A155A" w14:textId="77777777" w:rsidTr="4B960788">
        <w:trPr>
          <w:trHeight w:hRule="exact" w:val="360"/>
          <w:jc w:val="center"/>
        </w:trPr>
        <w:tc>
          <w:tcPr>
            <w:tcW w:w="1170" w:type="dxa"/>
            <w:shd w:val="clear" w:color="auto" w:fill="auto"/>
            <w:noWrap/>
            <w:vAlign w:val="bottom"/>
            <w:hideMark/>
          </w:tcPr>
          <w:p w14:paraId="531DB365"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14</w:t>
            </w:r>
          </w:p>
        </w:tc>
        <w:tc>
          <w:tcPr>
            <w:tcW w:w="2265" w:type="dxa"/>
            <w:shd w:val="clear" w:color="auto" w:fill="auto"/>
            <w:noWrap/>
            <w:vAlign w:val="bottom"/>
            <w:hideMark/>
          </w:tcPr>
          <w:p w14:paraId="35780208"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SDGE</w:t>
            </w:r>
          </w:p>
        </w:tc>
        <w:tc>
          <w:tcPr>
            <w:tcW w:w="2115" w:type="dxa"/>
            <w:shd w:val="clear" w:color="auto" w:fill="auto"/>
            <w:noWrap/>
            <w:vAlign w:val="bottom"/>
            <w:hideMark/>
          </w:tcPr>
          <w:p w14:paraId="57F2CCAA"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9.0</w:t>
            </w:r>
          </w:p>
        </w:tc>
        <w:tc>
          <w:tcPr>
            <w:tcW w:w="1935" w:type="dxa"/>
            <w:shd w:val="clear" w:color="auto" w:fill="auto"/>
            <w:noWrap/>
            <w:vAlign w:val="bottom"/>
            <w:hideMark/>
          </w:tcPr>
          <w:p w14:paraId="18A274D8"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2B694934"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7%</w:t>
            </w:r>
          </w:p>
        </w:tc>
      </w:tr>
      <w:tr w:rsidR="007039EB" w:rsidRPr="00523E0E" w14:paraId="5DD91A47" w14:textId="77777777" w:rsidTr="4B960788">
        <w:trPr>
          <w:trHeight w:hRule="exact" w:val="360"/>
          <w:jc w:val="center"/>
        </w:trPr>
        <w:tc>
          <w:tcPr>
            <w:tcW w:w="1170" w:type="dxa"/>
            <w:shd w:val="clear" w:color="auto" w:fill="auto"/>
            <w:noWrap/>
            <w:vAlign w:val="bottom"/>
            <w:hideMark/>
          </w:tcPr>
          <w:p w14:paraId="4681DFC8"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15</w:t>
            </w:r>
          </w:p>
        </w:tc>
        <w:tc>
          <w:tcPr>
            <w:tcW w:w="2265" w:type="dxa"/>
            <w:shd w:val="clear" w:color="auto" w:fill="auto"/>
            <w:noWrap/>
            <w:vAlign w:val="bottom"/>
            <w:hideMark/>
          </w:tcPr>
          <w:p w14:paraId="7F72DD6F"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SCE/SCG</w:t>
            </w:r>
          </w:p>
        </w:tc>
        <w:tc>
          <w:tcPr>
            <w:tcW w:w="2115" w:type="dxa"/>
            <w:shd w:val="clear" w:color="auto" w:fill="auto"/>
            <w:noWrap/>
            <w:vAlign w:val="bottom"/>
            <w:hideMark/>
          </w:tcPr>
          <w:p w14:paraId="74A5F890"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3.5</w:t>
            </w:r>
          </w:p>
        </w:tc>
        <w:tc>
          <w:tcPr>
            <w:tcW w:w="1935" w:type="dxa"/>
            <w:shd w:val="clear" w:color="auto" w:fill="auto"/>
            <w:noWrap/>
            <w:vAlign w:val="bottom"/>
            <w:hideMark/>
          </w:tcPr>
          <w:p w14:paraId="1E3D954A"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w:t>
            </w:r>
          </w:p>
        </w:tc>
        <w:tc>
          <w:tcPr>
            <w:tcW w:w="1650" w:type="dxa"/>
            <w:shd w:val="clear" w:color="auto" w:fill="auto"/>
            <w:noWrap/>
            <w:vAlign w:val="bottom"/>
            <w:hideMark/>
          </w:tcPr>
          <w:p w14:paraId="3B94FDCB"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10%</w:t>
            </w:r>
          </w:p>
        </w:tc>
      </w:tr>
      <w:tr w:rsidR="007039EB" w:rsidRPr="00523E0E" w14:paraId="3CD90B09" w14:textId="77777777" w:rsidTr="4B960788">
        <w:trPr>
          <w:trHeight w:hRule="exact" w:val="360"/>
          <w:jc w:val="center"/>
        </w:trPr>
        <w:tc>
          <w:tcPr>
            <w:tcW w:w="1170" w:type="dxa"/>
            <w:shd w:val="clear" w:color="auto" w:fill="auto"/>
            <w:noWrap/>
            <w:vAlign w:val="bottom"/>
            <w:hideMark/>
          </w:tcPr>
          <w:p w14:paraId="6CD20535"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16</w:t>
            </w:r>
          </w:p>
        </w:tc>
        <w:tc>
          <w:tcPr>
            <w:tcW w:w="2265" w:type="dxa"/>
            <w:shd w:val="clear" w:color="auto" w:fill="auto"/>
            <w:noWrap/>
            <w:vAlign w:val="bottom"/>
            <w:hideMark/>
          </w:tcPr>
          <w:p w14:paraId="501EC647" w14:textId="77777777" w:rsidR="007039EB" w:rsidRPr="00523E0E" w:rsidRDefault="007039EB">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PGE</w:t>
            </w:r>
          </w:p>
        </w:tc>
        <w:tc>
          <w:tcPr>
            <w:tcW w:w="2115" w:type="dxa"/>
            <w:shd w:val="clear" w:color="auto" w:fill="auto"/>
            <w:noWrap/>
            <w:vAlign w:val="bottom"/>
            <w:hideMark/>
          </w:tcPr>
          <w:p w14:paraId="47A96D94"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20.0</w:t>
            </w:r>
          </w:p>
        </w:tc>
        <w:tc>
          <w:tcPr>
            <w:tcW w:w="1935" w:type="dxa"/>
            <w:shd w:val="clear" w:color="auto" w:fill="auto"/>
            <w:noWrap/>
            <w:vAlign w:val="bottom"/>
            <w:hideMark/>
          </w:tcPr>
          <w:p w14:paraId="49DDB429"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14.7</w:t>
            </w:r>
          </w:p>
        </w:tc>
        <w:tc>
          <w:tcPr>
            <w:tcW w:w="1650" w:type="dxa"/>
            <w:shd w:val="clear" w:color="auto" w:fill="auto"/>
            <w:noWrap/>
            <w:vAlign w:val="bottom"/>
            <w:hideMark/>
          </w:tcPr>
          <w:p w14:paraId="59556A3A" w14:textId="77777777" w:rsidR="007039EB" w:rsidRPr="00523E0E" w:rsidRDefault="007039EB" w:rsidP="00E33CFF">
            <w:pPr>
              <w:autoSpaceDE w:val="0"/>
              <w:autoSpaceDN w:val="0"/>
              <w:adjustRightInd w:val="0"/>
              <w:jc w:val="center"/>
              <w:rPr>
                <w:rFonts w:asciiTheme="minorHAnsi" w:hAnsiTheme="minorHAnsi" w:cstheme="minorHAnsi"/>
                <w:color w:val="000000"/>
                <w:sz w:val="22"/>
                <w:szCs w:val="22"/>
              </w:rPr>
            </w:pPr>
            <w:r w:rsidRPr="00523E0E">
              <w:rPr>
                <w:rFonts w:asciiTheme="minorHAnsi" w:hAnsiTheme="minorHAnsi" w:cstheme="minorHAnsi"/>
                <w:color w:val="000000"/>
                <w:sz w:val="22"/>
                <w:szCs w:val="22"/>
              </w:rPr>
              <w:t>15%</w:t>
            </w:r>
          </w:p>
        </w:tc>
      </w:tr>
    </w:tbl>
    <w:p w14:paraId="5321CF8B" w14:textId="6602D8C7" w:rsidR="00EE754A" w:rsidRPr="00523E0E" w:rsidRDefault="00EE754A" w:rsidP="00206ACB">
      <w:pPr>
        <w:rPr>
          <w:rFonts w:asciiTheme="minorHAnsi" w:hAnsiTheme="minorHAnsi" w:cstheme="minorHAnsi"/>
          <w:sz w:val="22"/>
          <w:szCs w:val="22"/>
        </w:rPr>
      </w:pPr>
    </w:p>
    <w:sectPr w:rsidR="00EE754A" w:rsidRPr="00523E0E" w:rsidSect="00CC493C">
      <w:headerReference w:type="default" r:id="rId21"/>
      <w:footerReference w:type="default" r:id="rId22"/>
      <w:pgSz w:w="12240" w:h="15840"/>
      <w:pgMar w:top="1440" w:right="1440" w:bottom="1440" w:left="1440" w:header="576" w:footer="576"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B2FAE" w14:textId="77777777" w:rsidR="006F5F97" w:rsidRDefault="006F5F97" w:rsidP="00887E62">
      <w:r>
        <w:separator/>
      </w:r>
    </w:p>
  </w:endnote>
  <w:endnote w:type="continuationSeparator" w:id="0">
    <w:p w14:paraId="6BF9523F" w14:textId="77777777" w:rsidR="006F5F97" w:rsidRDefault="006F5F97" w:rsidP="00887E62">
      <w:r>
        <w:continuationSeparator/>
      </w:r>
    </w:p>
  </w:endnote>
  <w:endnote w:type="continuationNotice" w:id="1">
    <w:p w14:paraId="4B4EC9DD" w14:textId="77777777" w:rsidR="006F5F97" w:rsidRDefault="006F5F97" w:rsidP="00887E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alatino">
    <w:altName w:val="Segoe UI Historic"/>
    <w:charset w:val="4D"/>
    <w:family w:val="auto"/>
    <w:pitch w:val="variable"/>
    <w:sig w:usb0="A00002FF" w:usb1="7800205A" w:usb2="14600000" w:usb3="00000000" w:csb0="00000193" w:csb1="00000000"/>
  </w:font>
  <w:font w:name="LucidaBright">
    <w:altName w:val="Cambria"/>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33568519"/>
      <w:docPartObj>
        <w:docPartGallery w:val="Page Numbers (Bottom of Page)"/>
        <w:docPartUnique/>
      </w:docPartObj>
    </w:sdtPr>
    <w:sdtEndPr>
      <w:rPr>
        <w:rStyle w:val="PageNumber"/>
      </w:rPr>
    </w:sdtEndPr>
    <w:sdtContent>
      <w:p w14:paraId="057D2326" w14:textId="78B3E0A8" w:rsidR="007D79E5" w:rsidRDefault="007D79E5" w:rsidP="00CC49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8FCF41" w14:textId="77777777" w:rsidR="007D79E5" w:rsidRDefault="007D79E5" w:rsidP="007D79E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07B680" w14:textId="158DBEC2" w:rsidR="007D79E5" w:rsidRPr="00CC493C" w:rsidRDefault="007D79E5" w:rsidP="00CC493C">
    <w:pPr>
      <w:pStyle w:val="Footer"/>
      <w:framePr w:wrap="none" w:vAnchor="text" w:hAnchor="page" w:x="11241" w:y="-7"/>
      <w:rPr>
        <w:rStyle w:val="PageNumber"/>
        <w:rFonts w:ascii="Calibri" w:hAnsi="Calibri" w:cs="Calibri"/>
      </w:rPr>
    </w:pPr>
  </w:p>
  <w:p w14:paraId="110680C0" w14:textId="77777777" w:rsidR="00EE754A" w:rsidRDefault="00EE754A" w:rsidP="00887E6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Calibri" w:hAnsi="Calibri" w:cs="Calibri"/>
      </w:rPr>
      <w:id w:val="-1274931247"/>
      <w:docPartObj>
        <w:docPartGallery w:val="Page Numbers (Bottom of Page)"/>
        <w:docPartUnique/>
      </w:docPartObj>
    </w:sdtPr>
    <w:sdtEndPr>
      <w:rPr>
        <w:rStyle w:val="PageNumber"/>
        <w:sz w:val="22"/>
        <w:szCs w:val="22"/>
      </w:rPr>
    </w:sdtEndPr>
    <w:sdtContent>
      <w:p w14:paraId="78D62E07" w14:textId="77777777" w:rsidR="00CC493C" w:rsidRPr="00B0558A" w:rsidRDefault="00CC493C" w:rsidP="00CC493C">
        <w:pPr>
          <w:pStyle w:val="Footer"/>
          <w:framePr w:wrap="none" w:vAnchor="text" w:hAnchor="page" w:x="11241" w:y="-7"/>
          <w:rPr>
            <w:rStyle w:val="PageNumber"/>
            <w:rFonts w:ascii="Calibri" w:hAnsi="Calibri" w:cs="Calibri"/>
            <w:sz w:val="22"/>
            <w:szCs w:val="22"/>
          </w:rPr>
        </w:pPr>
        <w:r w:rsidRPr="00B0558A">
          <w:rPr>
            <w:rStyle w:val="PageNumber"/>
            <w:rFonts w:ascii="Calibri" w:hAnsi="Calibri" w:cs="Calibri"/>
            <w:sz w:val="22"/>
            <w:szCs w:val="22"/>
          </w:rPr>
          <w:fldChar w:fldCharType="begin"/>
        </w:r>
        <w:r w:rsidRPr="00B0558A">
          <w:rPr>
            <w:rStyle w:val="PageNumber"/>
            <w:rFonts w:ascii="Calibri" w:hAnsi="Calibri" w:cs="Calibri"/>
            <w:sz w:val="22"/>
            <w:szCs w:val="22"/>
          </w:rPr>
          <w:instrText xml:space="preserve"> PAGE </w:instrText>
        </w:r>
        <w:r w:rsidRPr="00B0558A">
          <w:rPr>
            <w:rStyle w:val="PageNumber"/>
            <w:rFonts w:ascii="Calibri" w:hAnsi="Calibri" w:cs="Calibri"/>
            <w:sz w:val="22"/>
            <w:szCs w:val="22"/>
          </w:rPr>
          <w:fldChar w:fldCharType="separate"/>
        </w:r>
        <w:r w:rsidRPr="00B0558A">
          <w:rPr>
            <w:rStyle w:val="PageNumber"/>
            <w:rFonts w:ascii="Calibri" w:hAnsi="Calibri" w:cs="Calibri"/>
            <w:noProof/>
            <w:sz w:val="22"/>
            <w:szCs w:val="22"/>
          </w:rPr>
          <w:t>5</w:t>
        </w:r>
        <w:r w:rsidRPr="00B0558A">
          <w:rPr>
            <w:rStyle w:val="PageNumber"/>
            <w:rFonts w:ascii="Calibri" w:hAnsi="Calibri" w:cs="Calibri"/>
            <w:sz w:val="22"/>
            <w:szCs w:val="22"/>
          </w:rPr>
          <w:fldChar w:fldCharType="end"/>
        </w:r>
      </w:p>
    </w:sdtContent>
  </w:sdt>
  <w:p w14:paraId="4BB0CCA3" w14:textId="4730DC3C" w:rsidR="00CC493C" w:rsidRPr="00B0558A" w:rsidRDefault="00455B51" w:rsidP="00887E62">
    <w:pPr>
      <w:rPr>
        <w:rFonts w:asciiTheme="minorHAnsi" w:hAnsiTheme="minorHAnsi" w:cstheme="minorHAnsi"/>
        <w:sz w:val="22"/>
        <w:szCs w:val="22"/>
      </w:rPr>
    </w:pPr>
    <w:r w:rsidRPr="00B0558A">
      <w:rPr>
        <w:rFonts w:asciiTheme="minorHAnsi" w:hAnsiTheme="minorHAnsi" w:cstheme="minorHAnsi"/>
        <w:noProof/>
        <w:sz w:val="22"/>
        <w:szCs w:val="22"/>
      </w:rPr>
      <mc:AlternateContent>
        <mc:Choice Requires="wps">
          <w:drawing>
            <wp:anchor distT="0" distB="0" distL="114300" distR="114300" simplePos="0" relativeHeight="251659264" behindDoc="0" locked="0" layoutInCell="1" allowOverlap="1" wp14:anchorId="48FB9378" wp14:editId="330D2C0B">
              <wp:simplePos x="0" y="0"/>
              <wp:positionH relativeFrom="column">
                <wp:posOffset>-137160</wp:posOffset>
              </wp:positionH>
              <wp:positionV relativeFrom="paragraph">
                <wp:posOffset>-144780</wp:posOffset>
              </wp:positionV>
              <wp:extent cx="6324600" cy="0"/>
              <wp:effectExtent l="0" t="0" r="0" b="0"/>
              <wp:wrapNone/>
              <wp:docPr id="1863595871"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324600" cy="0"/>
                      </a:xfrm>
                      <a:prstGeom prst="line">
                        <a:avLst/>
                      </a:prstGeom>
                      <a:ln w="9525">
                        <a:solidFill>
                          <a:srgbClr val="3D728A"/>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65E61C" id="Straight Connector 1" o:spid="_x0000_s1026" alt="&quot;&quot;"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0.8pt,-11.4pt" to="487.2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" strokecolor="#3d728a">
              <v:stroke joinstyle="miter"/>
            </v:line>
          </w:pict>
        </mc:Fallback>
      </mc:AlternateContent>
    </w:r>
    <w:r w:rsidR="00B0558A" w:rsidRPr="00B0558A">
      <w:rPr>
        <w:rFonts w:asciiTheme="minorHAnsi" w:hAnsiTheme="minorHAnsi" w:cstheme="minorHAnsi"/>
        <w:sz w:val="22"/>
        <w:szCs w:val="22"/>
      </w:rPr>
      <w:t>2024-05-22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BF79DA" w14:textId="77777777" w:rsidR="006F5F97" w:rsidRDefault="006F5F97" w:rsidP="00887E62">
      <w:r>
        <w:separator/>
      </w:r>
    </w:p>
  </w:footnote>
  <w:footnote w:type="continuationSeparator" w:id="0">
    <w:p w14:paraId="0A4AB9F5" w14:textId="77777777" w:rsidR="006F5F97" w:rsidRDefault="006F5F97" w:rsidP="00887E62">
      <w:r>
        <w:continuationSeparator/>
      </w:r>
    </w:p>
  </w:footnote>
  <w:footnote w:type="continuationNotice" w:id="1">
    <w:p w14:paraId="18E0D9EB" w14:textId="77777777" w:rsidR="006F5F97" w:rsidRDefault="006F5F97" w:rsidP="00887E62"/>
  </w:footnote>
  <w:footnote w:id="2">
    <w:p w14:paraId="7E1A97F1" w14:textId="561DAF67" w:rsidR="0025364F" w:rsidRPr="00CA6149" w:rsidRDefault="0025364F" w:rsidP="00CA6149">
      <w:pPr>
        <w:pStyle w:val="FootnoteText"/>
        <w:ind w:left="180" w:hanging="180"/>
        <w:rPr>
          <w:rFonts w:cstheme="minorHAnsi"/>
        </w:rPr>
      </w:pPr>
      <w:r w:rsidRPr="00CA6149">
        <w:rPr>
          <w:rStyle w:val="FootnoteReference"/>
          <w:rFonts w:cstheme="minorHAnsi"/>
        </w:rPr>
        <w:footnoteRef/>
      </w:r>
      <w:r w:rsidRPr="00CA6149">
        <w:rPr>
          <w:rFonts w:cstheme="minorHAnsi"/>
        </w:rPr>
        <w:t xml:space="preserve"> </w:t>
      </w:r>
      <w:r w:rsidR="003845F2" w:rsidRPr="00CA6149">
        <w:rPr>
          <w:rFonts w:cstheme="minorHAnsi"/>
        </w:rPr>
        <w:t xml:space="preserve">The application of this approach to high-rise multifamily and nonresidential buildings is much more limited and it may not be appropriate in all climate zones. Jurisdictions that wish to explore this option should contact </w:t>
      </w:r>
      <w:hyperlink r:id="rId1" w:history="1">
        <w:r w:rsidR="003845F2" w:rsidRPr="00CA6149">
          <w:rPr>
            <w:rStyle w:val="Hyperlink"/>
            <w:rFonts w:cstheme="minorHAnsi"/>
          </w:rPr>
          <w:t>LocalEnergyCodes.com</w:t>
        </w:r>
      </w:hyperlink>
      <w:r w:rsidR="003845F2" w:rsidRPr="00CA6149">
        <w:rPr>
          <w:rFonts w:cstheme="minorHAnsi"/>
        </w:rPr>
        <w:t xml:space="preserve"> for assistance.</w:t>
      </w:r>
    </w:p>
  </w:footnote>
  <w:footnote w:id="3">
    <w:p w14:paraId="3A9AD65E" w14:textId="77777777" w:rsidR="00BB1098" w:rsidRPr="00CA6149" w:rsidRDefault="00BB1098" w:rsidP="00CA6149">
      <w:pPr>
        <w:pStyle w:val="FootnoteText"/>
        <w:ind w:left="180" w:hanging="180"/>
        <w:rPr>
          <w:rFonts w:cstheme="minorHAnsi"/>
        </w:rPr>
      </w:pPr>
      <w:r w:rsidRPr="00CA6149">
        <w:rPr>
          <w:rStyle w:val="FootnoteReference"/>
          <w:rFonts w:cstheme="minorHAnsi"/>
        </w:rPr>
        <w:footnoteRef/>
      </w:r>
      <w:r w:rsidRPr="00CA6149">
        <w:rPr>
          <w:rFonts w:cstheme="minorHAnsi"/>
        </w:rPr>
        <w:t xml:space="preserve"> See </w:t>
      </w:r>
      <w:hyperlink r:id="rId2" w:anchor=":~:text=Heat%20pumps%20today%20can%20reach,they're%20using%20in%20electricity." w:history="1">
        <w:r w:rsidRPr="00CA6149">
          <w:rPr>
            <w:rStyle w:val="Hyperlink"/>
            <w:rFonts w:cstheme="minorHAnsi"/>
          </w:rPr>
          <w:t>MIT Technology Review, Everything You Need to Know about the Wild World of Heat Pumps.</w:t>
        </w:r>
      </w:hyperlink>
    </w:p>
  </w:footnote>
  <w:footnote w:id="4">
    <w:p w14:paraId="53AEAB24" w14:textId="6E6EBD83" w:rsidR="000A72F8" w:rsidRPr="00CA6149" w:rsidRDefault="000A72F8" w:rsidP="00CA6149">
      <w:pPr>
        <w:pStyle w:val="FootnoteText"/>
        <w:ind w:left="180" w:hanging="180"/>
        <w:rPr>
          <w:rFonts w:cstheme="minorHAnsi"/>
        </w:rPr>
      </w:pPr>
      <w:r w:rsidRPr="00CA6149">
        <w:rPr>
          <w:rStyle w:val="FootnoteReference"/>
          <w:rFonts w:cstheme="minorHAnsi"/>
        </w:rPr>
        <w:footnoteRef/>
      </w:r>
      <w:r w:rsidRPr="00CA6149">
        <w:rPr>
          <w:rFonts w:cstheme="minorHAnsi"/>
        </w:rPr>
        <w:t xml:space="preserve"> </w:t>
      </w:r>
      <w:r w:rsidR="003C0DFE" w:rsidRPr="00CA6149">
        <w:rPr>
          <w:rFonts w:cstheme="minorHAnsi"/>
        </w:rPr>
        <w:t>2022 Reach Codes Cost Effectiveness Studies located on the Local Energy Codes website:</w:t>
      </w:r>
      <w:r w:rsidR="00DF18B1" w:rsidRPr="00CA6149" w:rsidDel="005F6735">
        <w:rPr>
          <w:rFonts w:cstheme="minorHAnsi"/>
        </w:rPr>
        <w:t xml:space="preserve"> </w:t>
      </w:r>
      <w:hyperlink r:id="rId3" w:history="1">
        <w:r w:rsidR="003C0DFE" w:rsidRPr="00CA6149">
          <w:rPr>
            <w:rStyle w:val="Hyperlink"/>
            <w:rFonts w:cstheme="minorHAnsi"/>
          </w:rPr>
          <w:t>Resources (localenergycodes.com)</w:t>
        </w:r>
      </w:hyperlink>
      <w:r w:rsidRPr="00CA6149">
        <w:rPr>
          <w:rFonts w:cstheme="minorHAnsi"/>
        </w:rPr>
        <w:t>.</w:t>
      </w:r>
    </w:p>
  </w:footnote>
  <w:footnote w:id="5">
    <w:p w14:paraId="1D4CC70F" w14:textId="5AEED895" w:rsidR="00896E06" w:rsidRPr="00CA6149" w:rsidRDefault="00896E06" w:rsidP="00CA6149">
      <w:pPr>
        <w:pStyle w:val="FootnoteText"/>
        <w:ind w:left="180" w:hanging="180"/>
        <w:rPr>
          <w:rFonts w:cstheme="minorHAnsi"/>
        </w:rPr>
      </w:pPr>
      <w:r w:rsidRPr="00CA6149">
        <w:rPr>
          <w:rStyle w:val="FootnoteReference"/>
          <w:rFonts w:cstheme="minorHAnsi"/>
        </w:rPr>
        <w:footnoteRef/>
      </w:r>
      <w:r w:rsidRPr="00CA6149">
        <w:rPr>
          <w:rFonts w:cstheme="minorHAnsi"/>
        </w:rPr>
        <w:t xml:space="preserve"> This finding is necessary under State law.</w:t>
      </w:r>
    </w:p>
  </w:footnote>
  <w:footnote w:id="6">
    <w:p w14:paraId="3D2AE5F7" w14:textId="38FDDC6C" w:rsidR="00995D16" w:rsidRPr="005E7102" w:rsidRDefault="00995D16" w:rsidP="003562C3">
      <w:pPr>
        <w:pStyle w:val="FootnoteText"/>
        <w:ind w:left="180" w:hanging="180"/>
        <w:rPr>
          <w:rFonts w:cstheme="minorHAnsi"/>
        </w:rPr>
      </w:pPr>
      <w:r w:rsidRPr="005E7102">
        <w:rPr>
          <w:rStyle w:val="FootnoteReference"/>
          <w:rFonts w:cstheme="minorHAnsi"/>
          <w:sz w:val="18"/>
          <w:szCs w:val="18"/>
        </w:rPr>
        <w:footnoteRef/>
      </w:r>
      <w:r w:rsidRPr="005E7102">
        <w:rPr>
          <w:rFonts w:cstheme="minorHAnsi"/>
        </w:rPr>
        <w:t xml:space="preserve"> </w:t>
      </w:r>
      <w:r w:rsidR="006758FE" w:rsidRPr="005E7102">
        <w:rPr>
          <w:rFonts w:cstheme="minorHAnsi"/>
        </w:rPr>
        <w:t xml:space="preserve">Source energy was introduced in the 2022 California Energy Code as a new carbon metric to support California’s decarbonization and electrification goals. </w:t>
      </w:r>
    </w:p>
  </w:footnote>
  <w:footnote w:id="7">
    <w:p w14:paraId="26AE5163" w14:textId="77777777" w:rsidR="00E40160" w:rsidRPr="005E7102" w:rsidRDefault="00E40160" w:rsidP="003562C3">
      <w:pPr>
        <w:ind w:left="180" w:hanging="180"/>
        <w:rPr>
          <w:rFonts w:asciiTheme="minorHAnsi" w:hAnsiTheme="minorHAnsi" w:cstheme="minorHAnsi"/>
          <w:sz w:val="18"/>
          <w:szCs w:val="18"/>
        </w:rPr>
      </w:pPr>
      <w:r w:rsidRPr="005E7102">
        <w:rPr>
          <w:rStyle w:val="FootnoteReference"/>
          <w:rFonts w:asciiTheme="minorHAnsi" w:hAnsiTheme="minorHAnsi" w:cstheme="minorHAnsi"/>
          <w:sz w:val="18"/>
          <w:szCs w:val="18"/>
        </w:rPr>
        <w:footnoteRef/>
      </w:r>
      <w:r w:rsidRPr="005E7102">
        <w:rPr>
          <w:rFonts w:asciiTheme="minorHAnsi" w:hAnsiTheme="minorHAnsi" w:cstheme="minorHAnsi"/>
          <w:sz w:val="18"/>
          <w:szCs w:val="18"/>
        </w:rPr>
        <w:t xml:space="preserve"> </w:t>
      </w:r>
      <w:r w:rsidRPr="005E7102">
        <w:rPr>
          <w:rStyle w:val="FootnoteTextChar"/>
          <w:rFonts w:asciiTheme="minorHAnsi" w:hAnsiTheme="minorHAnsi" w:cstheme="minorHAnsi"/>
        </w:rPr>
        <w:t xml:space="preserve">The cost-effectiveness studies modeled typical buildings and identified the most practical and economical strategies to achieve compliance at different performance levels. The most appropriate measures for any specific building may vary based on the design, orientation, </w:t>
      </w:r>
      <w:proofErr w:type="gramStart"/>
      <w:r w:rsidRPr="005E7102">
        <w:rPr>
          <w:rStyle w:val="FootnoteTextChar"/>
          <w:rFonts w:asciiTheme="minorHAnsi" w:hAnsiTheme="minorHAnsi" w:cstheme="minorHAnsi"/>
        </w:rPr>
        <w:t>size</w:t>
      </w:r>
      <w:proofErr w:type="gramEnd"/>
      <w:r w:rsidRPr="005E7102">
        <w:rPr>
          <w:rStyle w:val="FootnoteTextChar"/>
          <w:rFonts w:asciiTheme="minorHAnsi" w:hAnsiTheme="minorHAnsi" w:cstheme="minorHAnsi"/>
        </w:rPr>
        <w:t xml:space="preserve"> and features.</w:t>
      </w:r>
    </w:p>
  </w:footnote>
  <w:footnote w:id="8">
    <w:p w14:paraId="0874FE29" w14:textId="77777777" w:rsidR="00E40160" w:rsidRPr="005354FB" w:rsidRDefault="00E40160" w:rsidP="005E7102">
      <w:pPr>
        <w:pStyle w:val="FootnoteText"/>
        <w:ind w:left="180" w:hanging="180"/>
        <w:rPr>
          <w:rFonts w:cstheme="minorHAnsi"/>
          <w:sz w:val="18"/>
          <w:szCs w:val="18"/>
        </w:rPr>
      </w:pPr>
      <w:r w:rsidRPr="005354FB">
        <w:rPr>
          <w:rStyle w:val="FootnoteReference"/>
          <w:rFonts w:cstheme="minorHAnsi"/>
          <w:sz w:val="18"/>
          <w:szCs w:val="18"/>
        </w:rPr>
        <w:footnoteRef/>
      </w:r>
      <w:r w:rsidRPr="005354FB">
        <w:rPr>
          <w:rFonts w:cstheme="minorHAnsi"/>
          <w:sz w:val="18"/>
          <w:szCs w:val="18"/>
        </w:rPr>
        <w:t xml:space="preserve"> </w:t>
      </w:r>
      <w:r w:rsidRPr="00863988">
        <w:t>Exceptions for limited solar access already exist in the State Code and would apply to the local requirements as well.</w:t>
      </w:r>
    </w:p>
  </w:footnote>
  <w:footnote w:id="9">
    <w:p w14:paraId="6437D1FA" w14:textId="6520ACB9" w:rsidR="008B7B4B" w:rsidRDefault="008B7B4B" w:rsidP="005E7102">
      <w:pPr>
        <w:pStyle w:val="FootnoteText"/>
        <w:ind w:left="180" w:hanging="180"/>
      </w:pPr>
      <w:r>
        <w:rPr>
          <w:rStyle w:val="FootnoteReference"/>
        </w:rPr>
        <w:footnoteRef/>
      </w:r>
      <w:r>
        <w:t xml:space="preserve"> </w:t>
      </w:r>
      <w:r w:rsidR="0074742C">
        <w:t>There are exceptions for smaller homes in mild climate zones</w:t>
      </w:r>
      <w:r w:rsidR="001109F0">
        <w:t xml:space="preserve">. In these few cases, </w:t>
      </w:r>
      <w:r w:rsidR="008F50DA">
        <w:t xml:space="preserve">higher efficiency </w:t>
      </w:r>
      <w:r w:rsidR="00E55682">
        <w:t xml:space="preserve">measures and/or </w:t>
      </w:r>
      <w:r w:rsidR="003D2BEC">
        <w:t>solar PV (which is n</w:t>
      </w:r>
      <w:r w:rsidR="00352E4E">
        <w:t>o</w:t>
      </w:r>
      <w:r w:rsidR="003D2BEC">
        <w:t xml:space="preserve">t </w:t>
      </w:r>
      <w:r w:rsidR="000F2365">
        <w:t xml:space="preserve">otherwise </w:t>
      </w:r>
      <w:r w:rsidR="003D2BEC">
        <w:t>required for buildings</w:t>
      </w:r>
      <w:r w:rsidR="000F2365">
        <w:t xml:space="preserve"> with very small loads</w:t>
      </w:r>
      <w:r w:rsidR="00352E4E">
        <w:t xml:space="preserve">) </w:t>
      </w:r>
      <w:r w:rsidR="002C1E29">
        <w:t xml:space="preserve">may </w:t>
      </w:r>
      <w:r w:rsidR="00352E4E">
        <w:t>be necessary to achieve compliance.</w:t>
      </w:r>
    </w:p>
  </w:footnote>
  <w:footnote w:id="10">
    <w:p w14:paraId="12168AE7" w14:textId="3CD11F3B" w:rsidR="00DB447F" w:rsidRPr="005354FB" w:rsidRDefault="00DB447F" w:rsidP="003562C3">
      <w:pPr>
        <w:pStyle w:val="FootnoteText"/>
        <w:ind w:left="180" w:hanging="180"/>
      </w:pPr>
      <w:r w:rsidRPr="005354FB">
        <w:rPr>
          <w:rStyle w:val="FootnoteReference"/>
          <w:rFonts w:cstheme="minorHAnsi"/>
          <w:sz w:val="18"/>
          <w:szCs w:val="18"/>
        </w:rPr>
        <w:footnoteRef/>
      </w:r>
      <w:r w:rsidRPr="005354FB">
        <w:t xml:space="preserve"> </w:t>
      </w:r>
      <w:r w:rsidRPr="00863988">
        <w:t>Certified Energy Analyst (CEA) Definition:</w:t>
      </w:r>
      <w:r w:rsidR="00DF18B1" w:rsidRPr="00863988" w:rsidDel="000141D4">
        <w:t xml:space="preserve"> </w:t>
      </w:r>
      <w:r w:rsidRPr="00863988">
        <w:t>"Certification as a CEA signifies that a consultant understands the California Building Energy Efficiency Standards (Title 24, Part 6) and has an understanding of broader energy efficiency issues, is committed to providing quality service to clients, and that he/she has made a commitment to conduct business in an ethical fashion." (Source:</w:t>
      </w:r>
      <w:r w:rsidR="00DF18B1" w:rsidRPr="00863988" w:rsidDel="005F6735">
        <w:t xml:space="preserve"> </w:t>
      </w:r>
      <w:hyperlink r:id="rId4" w:history="1">
        <w:r w:rsidRPr="008E6233">
          <w:rPr>
            <w:color w:val="2E74B5" w:themeColor="accent1" w:themeShade="BF"/>
            <w:u w:val="single"/>
          </w:rPr>
          <w:t>Certified Energy Analyst (CEA) Program - CABEC.org</w:t>
        </w:r>
      </w:hyperlink>
      <w:r w:rsidRPr="00863988">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793842" w14:textId="77777777" w:rsidR="00FE3EB3" w:rsidRDefault="00FE3EB3">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AS8771X0" int2:invalidationBookmarkName="" int2:hashCode="I8dEpzdgrRPys7" int2:id="BfyaqkfY">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F6BCF"/>
    <w:multiLevelType w:val="hybridMultilevel"/>
    <w:tmpl w:val="4948B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235C9C"/>
    <w:multiLevelType w:val="hybridMultilevel"/>
    <w:tmpl w:val="0FC0B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17514A"/>
    <w:multiLevelType w:val="hybridMultilevel"/>
    <w:tmpl w:val="76729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CD0864"/>
    <w:multiLevelType w:val="hybridMultilevel"/>
    <w:tmpl w:val="5B2AE22C"/>
    <w:lvl w:ilvl="0" w:tplc="5EF68B38">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4453D6"/>
    <w:multiLevelType w:val="hybridMultilevel"/>
    <w:tmpl w:val="DA80E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0B1E1A"/>
    <w:multiLevelType w:val="hybridMultilevel"/>
    <w:tmpl w:val="27B82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EB3489"/>
    <w:multiLevelType w:val="hybridMultilevel"/>
    <w:tmpl w:val="2DAEC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920CB8"/>
    <w:multiLevelType w:val="hybridMultilevel"/>
    <w:tmpl w:val="2F285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ED0B65"/>
    <w:multiLevelType w:val="hybridMultilevel"/>
    <w:tmpl w:val="14B2385E"/>
    <w:lvl w:ilvl="0" w:tplc="FFFFFFFF">
      <w:start w:val="1"/>
      <w:numFmt w:val="bullet"/>
      <w:pStyle w:val="AttachmentsLine"/>
      <w:lvlText w:val=""/>
      <w:lvlJc w:val="left"/>
      <w:pPr>
        <w:tabs>
          <w:tab w:val="num" w:pos="360"/>
        </w:tabs>
        <w:ind w:left="36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50CD0551"/>
    <w:multiLevelType w:val="hybridMultilevel"/>
    <w:tmpl w:val="28628F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1D27A7"/>
    <w:multiLevelType w:val="hybridMultilevel"/>
    <w:tmpl w:val="B1AA44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C38236E"/>
    <w:multiLevelType w:val="hybridMultilevel"/>
    <w:tmpl w:val="DD06C2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61BC3E08"/>
    <w:multiLevelType w:val="hybridMultilevel"/>
    <w:tmpl w:val="EE34C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3A12E1"/>
    <w:multiLevelType w:val="hybridMultilevel"/>
    <w:tmpl w:val="D1F41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1F6205"/>
    <w:multiLevelType w:val="hybridMultilevel"/>
    <w:tmpl w:val="5894AED0"/>
    <w:lvl w:ilvl="0" w:tplc="FA24FD6A">
      <w:start w:val="1"/>
      <w:numFmt w:val="bullet"/>
      <w:lvlText w:val=""/>
      <w:lvlJc w:val="left"/>
      <w:pPr>
        <w:ind w:left="288" w:hanging="288"/>
      </w:pPr>
      <w:rPr>
        <w:rFonts w:ascii="Symbol" w:hAnsi="Symbol" w:hint="default"/>
      </w:rPr>
    </w:lvl>
    <w:lvl w:ilvl="1" w:tplc="04090003">
      <w:start w:val="1"/>
      <w:numFmt w:val="bullet"/>
      <w:lvlText w:val="o"/>
      <w:lvlJc w:val="left"/>
      <w:pPr>
        <w:ind w:left="1872" w:hanging="360"/>
      </w:pPr>
      <w:rPr>
        <w:rFonts w:ascii="Courier New" w:hAnsi="Courier New" w:cs="Times New Roman" w:hint="default"/>
      </w:rPr>
    </w:lvl>
    <w:lvl w:ilvl="2" w:tplc="04090005">
      <w:start w:val="1"/>
      <w:numFmt w:val="bullet"/>
      <w:lvlText w:val=""/>
      <w:lvlJc w:val="left"/>
      <w:pPr>
        <w:ind w:left="2592" w:hanging="360"/>
      </w:pPr>
      <w:rPr>
        <w:rFonts w:ascii="Wingdings" w:hAnsi="Wingdings" w:hint="default"/>
      </w:rPr>
    </w:lvl>
    <w:lvl w:ilvl="3" w:tplc="04090001">
      <w:start w:val="1"/>
      <w:numFmt w:val="bullet"/>
      <w:lvlText w:val=""/>
      <w:lvlJc w:val="left"/>
      <w:pPr>
        <w:ind w:left="3312" w:hanging="360"/>
      </w:pPr>
      <w:rPr>
        <w:rFonts w:ascii="Symbol" w:hAnsi="Symbol" w:hint="default"/>
      </w:rPr>
    </w:lvl>
    <w:lvl w:ilvl="4" w:tplc="04090003">
      <w:start w:val="1"/>
      <w:numFmt w:val="bullet"/>
      <w:lvlText w:val="o"/>
      <w:lvlJc w:val="left"/>
      <w:pPr>
        <w:ind w:left="4032" w:hanging="360"/>
      </w:pPr>
      <w:rPr>
        <w:rFonts w:ascii="Courier New" w:hAnsi="Courier New" w:cs="Times New Roman" w:hint="default"/>
      </w:rPr>
    </w:lvl>
    <w:lvl w:ilvl="5" w:tplc="04090005">
      <w:start w:val="1"/>
      <w:numFmt w:val="bullet"/>
      <w:lvlText w:val=""/>
      <w:lvlJc w:val="left"/>
      <w:pPr>
        <w:ind w:left="4752" w:hanging="360"/>
      </w:pPr>
      <w:rPr>
        <w:rFonts w:ascii="Wingdings" w:hAnsi="Wingdings" w:hint="default"/>
      </w:rPr>
    </w:lvl>
    <w:lvl w:ilvl="6" w:tplc="04090001">
      <w:start w:val="1"/>
      <w:numFmt w:val="bullet"/>
      <w:lvlText w:val=""/>
      <w:lvlJc w:val="left"/>
      <w:pPr>
        <w:ind w:left="5472" w:hanging="360"/>
      </w:pPr>
      <w:rPr>
        <w:rFonts w:ascii="Symbol" w:hAnsi="Symbol" w:hint="default"/>
      </w:rPr>
    </w:lvl>
    <w:lvl w:ilvl="7" w:tplc="04090003">
      <w:start w:val="1"/>
      <w:numFmt w:val="bullet"/>
      <w:lvlText w:val="o"/>
      <w:lvlJc w:val="left"/>
      <w:pPr>
        <w:ind w:left="6192" w:hanging="360"/>
      </w:pPr>
      <w:rPr>
        <w:rFonts w:ascii="Courier New" w:hAnsi="Courier New" w:cs="Times New Roman" w:hint="default"/>
      </w:rPr>
    </w:lvl>
    <w:lvl w:ilvl="8" w:tplc="04090005">
      <w:start w:val="1"/>
      <w:numFmt w:val="bullet"/>
      <w:lvlText w:val=""/>
      <w:lvlJc w:val="left"/>
      <w:pPr>
        <w:ind w:left="6912" w:hanging="360"/>
      </w:pPr>
      <w:rPr>
        <w:rFonts w:ascii="Wingdings" w:hAnsi="Wingdings" w:hint="default"/>
      </w:rPr>
    </w:lvl>
  </w:abstractNum>
  <w:abstractNum w:abstractNumId="15" w15:restartNumberingAfterBreak="0">
    <w:nsid w:val="682821A1"/>
    <w:multiLevelType w:val="hybridMultilevel"/>
    <w:tmpl w:val="AD82F0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BB12EA7"/>
    <w:multiLevelType w:val="hybridMultilevel"/>
    <w:tmpl w:val="E9748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B2649F"/>
    <w:multiLevelType w:val="hybridMultilevel"/>
    <w:tmpl w:val="CD9C7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E44CE3"/>
    <w:multiLevelType w:val="hybridMultilevel"/>
    <w:tmpl w:val="C47EB562"/>
    <w:lvl w:ilvl="0" w:tplc="249CFDDE">
      <w:start w:val="1"/>
      <w:numFmt w:val="bullet"/>
      <w:lvlText w:val=""/>
      <w:lvlJc w:val="left"/>
      <w:pPr>
        <w:ind w:left="720" w:hanging="360"/>
      </w:pPr>
      <w:rPr>
        <w:rFonts w:ascii="Wingdings" w:eastAsia="Times New Roma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6469C1"/>
    <w:multiLevelType w:val="hybridMultilevel"/>
    <w:tmpl w:val="9E965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B64BEF"/>
    <w:multiLevelType w:val="hybridMultilevel"/>
    <w:tmpl w:val="4F980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3404268">
    <w:abstractNumId w:val="14"/>
  </w:num>
  <w:num w:numId="2" w16cid:durableId="23293036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64571854">
    <w:abstractNumId w:val="15"/>
  </w:num>
  <w:num w:numId="4" w16cid:durableId="1692948704">
    <w:abstractNumId w:val="11"/>
  </w:num>
  <w:num w:numId="5" w16cid:durableId="1387416505">
    <w:abstractNumId w:val="13"/>
  </w:num>
  <w:num w:numId="6" w16cid:durableId="1691445211">
    <w:abstractNumId w:val="8"/>
  </w:num>
  <w:num w:numId="7" w16cid:durableId="37165526">
    <w:abstractNumId w:val="19"/>
  </w:num>
  <w:num w:numId="8" w16cid:durableId="634874527">
    <w:abstractNumId w:val="20"/>
  </w:num>
  <w:num w:numId="9" w16cid:durableId="1978297251">
    <w:abstractNumId w:val="10"/>
  </w:num>
  <w:num w:numId="10" w16cid:durableId="64233004">
    <w:abstractNumId w:val="12"/>
  </w:num>
  <w:num w:numId="11" w16cid:durableId="2003389048">
    <w:abstractNumId w:val="0"/>
  </w:num>
  <w:num w:numId="12" w16cid:durableId="1314724692">
    <w:abstractNumId w:val="2"/>
  </w:num>
  <w:num w:numId="13" w16cid:durableId="1866479075">
    <w:abstractNumId w:val="1"/>
  </w:num>
  <w:num w:numId="14" w16cid:durableId="978656537">
    <w:abstractNumId w:val="9"/>
  </w:num>
  <w:num w:numId="15" w16cid:durableId="1727752118">
    <w:abstractNumId w:val="7"/>
  </w:num>
  <w:num w:numId="16" w16cid:durableId="1549489003">
    <w:abstractNumId w:val="5"/>
  </w:num>
  <w:num w:numId="17" w16cid:durableId="929241876">
    <w:abstractNumId w:val="16"/>
  </w:num>
  <w:num w:numId="18" w16cid:durableId="596521632">
    <w:abstractNumId w:val="3"/>
  </w:num>
  <w:num w:numId="19" w16cid:durableId="1281106366">
    <w:abstractNumId w:val="17"/>
  </w:num>
  <w:num w:numId="20" w16cid:durableId="311954035">
    <w:abstractNumId w:val="6"/>
  </w:num>
  <w:num w:numId="21" w16cid:durableId="1009022610">
    <w:abstractNumId w:val="4"/>
  </w:num>
  <w:num w:numId="22" w16cid:durableId="202828547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68EC"/>
    <w:rsid w:val="00000661"/>
    <w:rsid w:val="00003456"/>
    <w:rsid w:val="00005150"/>
    <w:rsid w:val="00010208"/>
    <w:rsid w:val="000112D1"/>
    <w:rsid w:val="000130DD"/>
    <w:rsid w:val="00013393"/>
    <w:rsid w:val="000141D4"/>
    <w:rsid w:val="00014977"/>
    <w:rsid w:val="00014ADF"/>
    <w:rsid w:val="000167EE"/>
    <w:rsid w:val="00020D77"/>
    <w:rsid w:val="000239F9"/>
    <w:rsid w:val="00023D2E"/>
    <w:rsid w:val="00026D69"/>
    <w:rsid w:val="000279B0"/>
    <w:rsid w:val="00031BEA"/>
    <w:rsid w:val="00032B68"/>
    <w:rsid w:val="00037F16"/>
    <w:rsid w:val="000401E4"/>
    <w:rsid w:val="0004028E"/>
    <w:rsid w:val="000416D0"/>
    <w:rsid w:val="000424CB"/>
    <w:rsid w:val="00044B8E"/>
    <w:rsid w:val="00046A44"/>
    <w:rsid w:val="0004701A"/>
    <w:rsid w:val="0004760A"/>
    <w:rsid w:val="00050B29"/>
    <w:rsid w:val="00055557"/>
    <w:rsid w:val="0006033C"/>
    <w:rsid w:val="000626CD"/>
    <w:rsid w:val="00062BC0"/>
    <w:rsid w:val="000639DA"/>
    <w:rsid w:val="00064597"/>
    <w:rsid w:val="00065033"/>
    <w:rsid w:val="000663A1"/>
    <w:rsid w:val="00066ED2"/>
    <w:rsid w:val="000678C6"/>
    <w:rsid w:val="00073207"/>
    <w:rsid w:val="0007428A"/>
    <w:rsid w:val="00075B8A"/>
    <w:rsid w:val="0007726F"/>
    <w:rsid w:val="000778F2"/>
    <w:rsid w:val="000779D8"/>
    <w:rsid w:val="00081B66"/>
    <w:rsid w:val="00082887"/>
    <w:rsid w:val="00082BA5"/>
    <w:rsid w:val="00082FE2"/>
    <w:rsid w:val="00084CBF"/>
    <w:rsid w:val="00086964"/>
    <w:rsid w:val="00087C3B"/>
    <w:rsid w:val="00091358"/>
    <w:rsid w:val="0009287C"/>
    <w:rsid w:val="00092991"/>
    <w:rsid w:val="000934A3"/>
    <w:rsid w:val="00093E65"/>
    <w:rsid w:val="00097640"/>
    <w:rsid w:val="000A00EF"/>
    <w:rsid w:val="000A12E3"/>
    <w:rsid w:val="000A26C8"/>
    <w:rsid w:val="000A4136"/>
    <w:rsid w:val="000A49D5"/>
    <w:rsid w:val="000A5B1F"/>
    <w:rsid w:val="000A72F8"/>
    <w:rsid w:val="000A7CC5"/>
    <w:rsid w:val="000A7DEF"/>
    <w:rsid w:val="000B036E"/>
    <w:rsid w:val="000B3604"/>
    <w:rsid w:val="000B3A66"/>
    <w:rsid w:val="000C0BE6"/>
    <w:rsid w:val="000C1D0D"/>
    <w:rsid w:val="000C265C"/>
    <w:rsid w:val="000C355A"/>
    <w:rsid w:val="000C4E71"/>
    <w:rsid w:val="000C7C48"/>
    <w:rsid w:val="000D19E7"/>
    <w:rsid w:val="000D4BF4"/>
    <w:rsid w:val="000D556A"/>
    <w:rsid w:val="000D763F"/>
    <w:rsid w:val="000E0300"/>
    <w:rsid w:val="000E1C2A"/>
    <w:rsid w:val="000E24FA"/>
    <w:rsid w:val="000E4127"/>
    <w:rsid w:val="000E585A"/>
    <w:rsid w:val="000E6BE1"/>
    <w:rsid w:val="000E73C9"/>
    <w:rsid w:val="000F1489"/>
    <w:rsid w:val="000F1C89"/>
    <w:rsid w:val="000F2365"/>
    <w:rsid w:val="000F72CE"/>
    <w:rsid w:val="000F731D"/>
    <w:rsid w:val="000F7AE3"/>
    <w:rsid w:val="00100FB6"/>
    <w:rsid w:val="00102179"/>
    <w:rsid w:val="0010281C"/>
    <w:rsid w:val="001029E4"/>
    <w:rsid w:val="00103400"/>
    <w:rsid w:val="0010720E"/>
    <w:rsid w:val="001109F0"/>
    <w:rsid w:val="00111C5D"/>
    <w:rsid w:val="00112345"/>
    <w:rsid w:val="00114321"/>
    <w:rsid w:val="00115BC8"/>
    <w:rsid w:val="00115BD5"/>
    <w:rsid w:val="001174C4"/>
    <w:rsid w:val="001228DC"/>
    <w:rsid w:val="00122AE3"/>
    <w:rsid w:val="0012368C"/>
    <w:rsid w:val="00123F1A"/>
    <w:rsid w:val="00125907"/>
    <w:rsid w:val="001329DE"/>
    <w:rsid w:val="00133028"/>
    <w:rsid w:val="001333B6"/>
    <w:rsid w:val="00133D47"/>
    <w:rsid w:val="001406E9"/>
    <w:rsid w:val="001413CD"/>
    <w:rsid w:val="00142E02"/>
    <w:rsid w:val="001432A1"/>
    <w:rsid w:val="00144AAE"/>
    <w:rsid w:val="00145C67"/>
    <w:rsid w:val="00150901"/>
    <w:rsid w:val="00151B0D"/>
    <w:rsid w:val="001569D8"/>
    <w:rsid w:val="00157DAA"/>
    <w:rsid w:val="00157F76"/>
    <w:rsid w:val="00161354"/>
    <w:rsid w:val="001624D8"/>
    <w:rsid w:val="00162F84"/>
    <w:rsid w:val="001642FB"/>
    <w:rsid w:val="001650D9"/>
    <w:rsid w:val="001651FC"/>
    <w:rsid w:val="00165D90"/>
    <w:rsid w:val="00166DB6"/>
    <w:rsid w:val="0016742D"/>
    <w:rsid w:val="0017005D"/>
    <w:rsid w:val="00173ED4"/>
    <w:rsid w:val="001776F3"/>
    <w:rsid w:val="00180720"/>
    <w:rsid w:val="0018265A"/>
    <w:rsid w:val="0018298C"/>
    <w:rsid w:val="001834C8"/>
    <w:rsid w:val="00190B45"/>
    <w:rsid w:val="0019751D"/>
    <w:rsid w:val="0019753D"/>
    <w:rsid w:val="0019796A"/>
    <w:rsid w:val="001A0EBA"/>
    <w:rsid w:val="001A2C39"/>
    <w:rsid w:val="001A2F66"/>
    <w:rsid w:val="001A3C5C"/>
    <w:rsid w:val="001A41E7"/>
    <w:rsid w:val="001A4419"/>
    <w:rsid w:val="001A585C"/>
    <w:rsid w:val="001A58AA"/>
    <w:rsid w:val="001A6953"/>
    <w:rsid w:val="001B1580"/>
    <w:rsid w:val="001B210B"/>
    <w:rsid w:val="001B2A74"/>
    <w:rsid w:val="001B31C7"/>
    <w:rsid w:val="001B538F"/>
    <w:rsid w:val="001B6DB3"/>
    <w:rsid w:val="001C2E95"/>
    <w:rsid w:val="001C3144"/>
    <w:rsid w:val="001C4B82"/>
    <w:rsid w:val="001C635F"/>
    <w:rsid w:val="001C7142"/>
    <w:rsid w:val="001D01EF"/>
    <w:rsid w:val="001D0C17"/>
    <w:rsid w:val="001D0C25"/>
    <w:rsid w:val="001D29C4"/>
    <w:rsid w:val="001D30D7"/>
    <w:rsid w:val="001D31E1"/>
    <w:rsid w:val="001D3444"/>
    <w:rsid w:val="001D3972"/>
    <w:rsid w:val="001D512A"/>
    <w:rsid w:val="001D65D8"/>
    <w:rsid w:val="001D76F2"/>
    <w:rsid w:val="001D7E44"/>
    <w:rsid w:val="001E053B"/>
    <w:rsid w:val="001E3084"/>
    <w:rsid w:val="001E3133"/>
    <w:rsid w:val="001E501B"/>
    <w:rsid w:val="001E586E"/>
    <w:rsid w:val="001E7A47"/>
    <w:rsid w:val="001F0495"/>
    <w:rsid w:val="001F29A3"/>
    <w:rsid w:val="001F3043"/>
    <w:rsid w:val="001F3856"/>
    <w:rsid w:val="001F4350"/>
    <w:rsid w:val="001F49A1"/>
    <w:rsid w:val="001F6622"/>
    <w:rsid w:val="00200413"/>
    <w:rsid w:val="00200773"/>
    <w:rsid w:val="002062E3"/>
    <w:rsid w:val="00206ACB"/>
    <w:rsid w:val="002074A6"/>
    <w:rsid w:val="00207B9C"/>
    <w:rsid w:val="002106F2"/>
    <w:rsid w:val="00210CF8"/>
    <w:rsid w:val="002136F7"/>
    <w:rsid w:val="002153F4"/>
    <w:rsid w:val="002178D6"/>
    <w:rsid w:val="00220290"/>
    <w:rsid w:val="00224B9F"/>
    <w:rsid w:val="00226863"/>
    <w:rsid w:val="00233099"/>
    <w:rsid w:val="00233807"/>
    <w:rsid w:val="00237587"/>
    <w:rsid w:val="00240A4E"/>
    <w:rsid w:val="0024100D"/>
    <w:rsid w:val="002417EF"/>
    <w:rsid w:val="0024420A"/>
    <w:rsid w:val="002443BA"/>
    <w:rsid w:val="00245B90"/>
    <w:rsid w:val="002476DF"/>
    <w:rsid w:val="0024776C"/>
    <w:rsid w:val="00247ACA"/>
    <w:rsid w:val="002511BF"/>
    <w:rsid w:val="002519D3"/>
    <w:rsid w:val="0025218F"/>
    <w:rsid w:val="0025364F"/>
    <w:rsid w:val="002564B7"/>
    <w:rsid w:val="00256552"/>
    <w:rsid w:val="00262771"/>
    <w:rsid w:val="00263970"/>
    <w:rsid w:val="00264D3C"/>
    <w:rsid w:val="00266098"/>
    <w:rsid w:val="00266665"/>
    <w:rsid w:val="002701F4"/>
    <w:rsid w:val="00272590"/>
    <w:rsid w:val="00272D29"/>
    <w:rsid w:val="00273C0D"/>
    <w:rsid w:val="00274DF2"/>
    <w:rsid w:val="00274FF7"/>
    <w:rsid w:val="002779AB"/>
    <w:rsid w:val="00286F68"/>
    <w:rsid w:val="0028787B"/>
    <w:rsid w:val="00291CF7"/>
    <w:rsid w:val="00291D42"/>
    <w:rsid w:val="002931F4"/>
    <w:rsid w:val="0029488F"/>
    <w:rsid w:val="00295BF0"/>
    <w:rsid w:val="00295C50"/>
    <w:rsid w:val="002961A3"/>
    <w:rsid w:val="00296E7B"/>
    <w:rsid w:val="002A1012"/>
    <w:rsid w:val="002A1B2C"/>
    <w:rsid w:val="002A5BFF"/>
    <w:rsid w:val="002A6681"/>
    <w:rsid w:val="002A7120"/>
    <w:rsid w:val="002B14BA"/>
    <w:rsid w:val="002B30A3"/>
    <w:rsid w:val="002B33D7"/>
    <w:rsid w:val="002B3A96"/>
    <w:rsid w:val="002B3CC3"/>
    <w:rsid w:val="002B7682"/>
    <w:rsid w:val="002C1E29"/>
    <w:rsid w:val="002C4449"/>
    <w:rsid w:val="002C62BC"/>
    <w:rsid w:val="002C7B5B"/>
    <w:rsid w:val="002D0896"/>
    <w:rsid w:val="002D1E00"/>
    <w:rsid w:val="002D22A7"/>
    <w:rsid w:val="002D27B1"/>
    <w:rsid w:val="002D3168"/>
    <w:rsid w:val="002D4AA5"/>
    <w:rsid w:val="002D61A1"/>
    <w:rsid w:val="002E0611"/>
    <w:rsid w:val="002E092F"/>
    <w:rsid w:val="002E31D1"/>
    <w:rsid w:val="002E4C7C"/>
    <w:rsid w:val="002E5A9E"/>
    <w:rsid w:val="002E6586"/>
    <w:rsid w:val="002F1A89"/>
    <w:rsid w:val="002F1CDD"/>
    <w:rsid w:val="002F429D"/>
    <w:rsid w:val="002F51F0"/>
    <w:rsid w:val="002F7847"/>
    <w:rsid w:val="002F7F17"/>
    <w:rsid w:val="00300360"/>
    <w:rsid w:val="003010DF"/>
    <w:rsid w:val="00302AB7"/>
    <w:rsid w:val="00303F50"/>
    <w:rsid w:val="00304E48"/>
    <w:rsid w:val="00305F4D"/>
    <w:rsid w:val="00312E31"/>
    <w:rsid w:val="00313929"/>
    <w:rsid w:val="00314001"/>
    <w:rsid w:val="00315009"/>
    <w:rsid w:val="003200EB"/>
    <w:rsid w:val="00320E00"/>
    <w:rsid w:val="003235E3"/>
    <w:rsid w:val="0032454C"/>
    <w:rsid w:val="00325363"/>
    <w:rsid w:val="003303BF"/>
    <w:rsid w:val="003332C2"/>
    <w:rsid w:val="0033553A"/>
    <w:rsid w:val="003359F2"/>
    <w:rsid w:val="00336B41"/>
    <w:rsid w:val="00337172"/>
    <w:rsid w:val="00340561"/>
    <w:rsid w:val="00342930"/>
    <w:rsid w:val="00342F66"/>
    <w:rsid w:val="003458F9"/>
    <w:rsid w:val="00345BF4"/>
    <w:rsid w:val="00346442"/>
    <w:rsid w:val="003507BC"/>
    <w:rsid w:val="003517C3"/>
    <w:rsid w:val="00351EE9"/>
    <w:rsid w:val="00352B5B"/>
    <w:rsid w:val="00352E4E"/>
    <w:rsid w:val="003562C3"/>
    <w:rsid w:val="0035691A"/>
    <w:rsid w:val="00357DB2"/>
    <w:rsid w:val="003643B2"/>
    <w:rsid w:val="0036476D"/>
    <w:rsid w:val="00364F86"/>
    <w:rsid w:val="00365C4F"/>
    <w:rsid w:val="00365C53"/>
    <w:rsid w:val="00367263"/>
    <w:rsid w:val="00367E55"/>
    <w:rsid w:val="00373167"/>
    <w:rsid w:val="003738F5"/>
    <w:rsid w:val="003747FC"/>
    <w:rsid w:val="00374BF2"/>
    <w:rsid w:val="00374D13"/>
    <w:rsid w:val="00376A41"/>
    <w:rsid w:val="00380526"/>
    <w:rsid w:val="00381345"/>
    <w:rsid w:val="003845F2"/>
    <w:rsid w:val="0038497E"/>
    <w:rsid w:val="00384FEF"/>
    <w:rsid w:val="00386456"/>
    <w:rsid w:val="00387E4D"/>
    <w:rsid w:val="00390F1E"/>
    <w:rsid w:val="00391A1D"/>
    <w:rsid w:val="003927D7"/>
    <w:rsid w:val="00393504"/>
    <w:rsid w:val="003938EF"/>
    <w:rsid w:val="00395F6D"/>
    <w:rsid w:val="003A0A11"/>
    <w:rsid w:val="003A25C9"/>
    <w:rsid w:val="003A2E56"/>
    <w:rsid w:val="003A4709"/>
    <w:rsid w:val="003A495E"/>
    <w:rsid w:val="003A6792"/>
    <w:rsid w:val="003A7258"/>
    <w:rsid w:val="003A731C"/>
    <w:rsid w:val="003B0F31"/>
    <w:rsid w:val="003B1241"/>
    <w:rsid w:val="003B155D"/>
    <w:rsid w:val="003B3118"/>
    <w:rsid w:val="003B593B"/>
    <w:rsid w:val="003B5AE7"/>
    <w:rsid w:val="003B5FA5"/>
    <w:rsid w:val="003B68E5"/>
    <w:rsid w:val="003B7DDD"/>
    <w:rsid w:val="003C0655"/>
    <w:rsid w:val="003C0DFE"/>
    <w:rsid w:val="003C1117"/>
    <w:rsid w:val="003C2FC4"/>
    <w:rsid w:val="003C476F"/>
    <w:rsid w:val="003C547D"/>
    <w:rsid w:val="003C7DE3"/>
    <w:rsid w:val="003D0425"/>
    <w:rsid w:val="003D1F00"/>
    <w:rsid w:val="003D2554"/>
    <w:rsid w:val="003D2BEC"/>
    <w:rsid w:val="003D342E"/>
    <w:rsid w:val="003D6AD4"/>
    <w:rsid w:val="003D6FFA"/>
    <w:rsid w:val="003D7BDF"/>
    <w:rsid w:val="003E0B10"/>
    <w:rsid w:val="003E0F1E"/>
    <w:rsid w:val="003E17C9"/>
    <w:rsid w:val="003E1DA4"/>
    <w:rsid w:val="003E2D5E"/>
    <w:rsid w:val="003E3DF9"/>
    <w:rsid w:val="003F0AE8"/>
    <w:rsid w:val="003F19D7"/>
    <w:rsid w:val="003F2CEB"/>
    <w:rsid w:val="003F3C4F"/>
    <w:rsid w:val="003F42F5"/>
    <w:rsid w:val="003F65E4"/>
    <w:rsid w:val="004011EE"/>
    <w:rsid w:val="004019C0"/>
    <w:rsid w:val="00401A94"/>
    <w:rsid w:val="00402EBF"/>
    <w:rsid w:val="00403BBE"/>
    <w:rsid w:val="00404200"/>
    <w:rsid w:val="00404910"/>
    <w:rsid w:val="00405BE7"/>
    <w:rsid w:val="004067C4"/>
    <w:rsid w:val="0040788B"/>
    <w:rsid w:val="00407D30"/>
    <w:rsid w:val="004112C8"/>
    <w:rsid w:val="00411638"/>
    <w:rsid w:val="00413155"/>
    <w:rsid w:val="00413299"/>
    <w:rsid w:val="00413360"/>
    <w:rsid w:val="004153C9"/>
    <w:rsid w:val="004235F3"/>
    <w:rsid w:val="00424F37"/>
    <w:rsid w:val="0042663D"/>
    <w:rsid w:val="004275CF"/>
    <w:rsid w:val="0043092A"/>
    <w:rsid w:val="00431B73"/>
    <w:rsid w:val="00431C06"/>
    <w:rsid w:val="00431D5D"/>
    <w:rsid w:val="00433CA5"/>
    <w:rsid w:val="00434482"/>
    <w:rsid w:val="004363CE"/>
    <w:rsid w:val="004367D6"/>
    <w:rsid w:val="00436F5C"/>
    <w:rsid w:val="004377F3"/>
    <w:rsid w:val="00440671"/>
    <w:rsid w:val="0044081D"/>
    <w:rsid w:val="00442438"/>
    <w:rsid w:val="00445A2A"/>
    <w:rsid w:val="0044659C"/>
    <w:rsid w:val="00446F10"/>
    <w:rsid w:val="00446F19"/>
    <w:rsid w:val="004476CC"/>
    <w:rsid w:val="0044774D"/>
    <w:rsid w:val="00447A62"/>
    <w:rsid w:val="00450160"/>
    <w:rsid w:val="00450F84"/>
    <w:rsid w:val="00451D0B"/>
    <w:rsid w:val="00451DE2"/>
    <w:rsid w:val="00452C53"/>
    <w:rsid w:val="004535E1"/>
    <w:rsid w:val="004543E7"/>
    <w:rsid w:val="00455A34"/>
    <w:rsid w:val="00455B51"/>
    <w:rsid w:val="004570D0"/>
    <w:rsid w:val="004570F0"/>
    <w:rsid w:val="00461813"/>
    <w:rsid w:val="0046270B"/>
    <w:rsid w:val="00462F9C"/>
    <w:rsid w:val="004631A0"/>
    <w:rsid w:val="004645E7"/>
    <w:rsid w:val="00467066"/>
    <w:rsid w:val="0047197C"/>
    <w:rsid w:val="00471BD5"/>
    <w:rsid w:val="00471C14"/>
    <w:rsid w:val="00472668"/>
    <w:rsid w:val="004740CE"/>
    <w:rsid w:val="0047416A"/>
    <w:rsid w:val="004748FA"/>
    <w:rsid w:val="00475742"/>
    <w:rsid w:val="004769AB"/>
    <w:rsid w:val="00476EAD"/>
    <w:rsid w:val="00480811"/>
    <w:rsid w:val="00480E42"/>
    <w:rsid w:val="00481D39"/>
    <w:rsid w:val="00482E03"/>
    <w:rsid w:val="004830D8"/>
    <w:rsid w:val="00486232"/>
    <w:rsid w:val="0049206E"/>
    <w:rsid w:val="00494961"/>
    <w:rsid w:val="004951F4"/>
    <w:rsid w:val="004975CC"/>
    <w:rsid w:val="00497CB1"/>
    <w:rsid w:val="00497EAE"/>
    <w:rsid w:val="004A33EC"/>
    <w:rsid w:val="004A4730"/>
    <w:rsid w:val="004B0898"/>
    <w:rsid w:val="004B11DE"/>
    <w:rsid w:val="004B34A4"/>
    <w:rsid w:val="004C0A0F"/>
    <w:rsid w:val="004C319F"/>
    <w:rsid w:val="004C4D99"/>
    <w:rsid w:val="004D1279"/>
    <w:rsid w:val="004D2D78"/>
    <w:rsid w:val="004D3788"/>
    <w:rsid w:val="004D4EA7"/>
    <w:rsid w:val="004D4F6F"/>
    <w:rsid w:val="004D62ED"/>
    <w:rsid w:val="004D6FB3"/>
    <w:rsid w:val="004E1151"/>
    <w:rsid w:val="004E16C1"/>
    <w:rsid w:val="004E1A59"/>
    <w:rsid w:val="004E3E3D"/>
    <w:rsid w:val="004E48E4"/>
    <w:rsid w:val="004E4C1F"/>
    <w:rsid w:val="004E69D4"/>
    <w:rsid w:val="004E7158"/>
    <w:rsid w:val="004E7C47"/>
    <w:rsid w:val="004E7DD4"/>
    <w:rsid w:val="004F2355"/>
    <w:rsid w:val="004F239F"/>
    <w:rsid w:val="004F46FE"/>
    <w:rsid w:val="004F5A15"/>
    <w:rsid w:val="004F7368"/>
    <w:rsid w:val="00500865"/>
    <w:rsid w:val="00503C64"/>
    <w:rsid w:val="00503E51"/>
    <w:rsid w:val="0050547C"/>
    <w:rsid w:val="0050614A"/>
    <w:rsid w:val="0050676B"/>
    <w:rsid w:val="00506F8C"/>
    <w:rsid w:val="0050713A"/>
    <w:rsid w:val="0051007D"/>
    <w:rsid w:val="00512CB8"/>
    <w:rsid w:val="00515065"/>
    <w:rsid w:val="00515544"/>
    <w:rsid w:val="00517FC7"/>
    <w:rsid w:val="0052195F"/>
    <w:rsid w:val="00521FC0"/>
    <w:rsid w:val="005225DE"/>
    <w:rsid w:val="0052343F"/>
    <w:rsid w:val="00523AD7"/>
    <w:rsid w:val="00523E0E"/>
    <w:rsid w:val="00523EA7"/>
    <w:rsid w:val="00524272"/>
    <w:rsid w:val="005244F1"/>
    <w:rsid w:val="005248E0"/>
    <w:rsid w:val="00525D8A"/>
    <w:rsid w:val="005265BD"/>
    <w:rsid w:val="00526D1A"/>
    <w:rsid w:val="00526F85"/>
    <w:rsid w:val="00531635"/>
    <w:rsid w:val="00533B80"/>
    <w:rsid w:val="00533CD1"/>
    <w:rsid w:val="005354FB"/>
    <w:rsid w:val="0053563F"/>
    <w:rsid w:val="00537FE1"/>
    <w:rsid w:val="005407CB"/>
    <w:rsid w:val="005414EC"/>
    <w:rsid w:val="005425A7"/>
    <w:rsid w:val="00544896"/>
    <w:rsid w:val="00551262"/>
    <w:rsid w:val="005525E6"/>
    <w:rsid w:val="00553195"/>
    <w:rsid w:val="00553FC2"/>
    <w:rsid w:val="0055581C"/>
    <w:rsid w:val="00555E9B"/>
    <w:rsid w:val="0055767D"/>
    <w:rsid w:val="00561A2B"/>
    <w:rsid w:val="00561A76"/>
    <w:rsid w:val="005633B4"/>
    <w:rsid w:val="00563CA5"/>
    <w:rsid w:val="005642C1"/>
    <w:rsid w:val="00565F6D"/>
    <w:rsid w:val="00566996"/>
    <w:rsid w:val="00567F5C"/>
    <w:rsid w:val="0057284E"/>
    <w:rsid w:val="00573705"/>
    <w:rsid w:val="00574FB7"/>
    <w:rsid w:val="005754E6"/>
    <w:rsid w:val="00575823"/>
    <w:rsid w:val="00575AAF"/>
    <w:rsid w:val="005764CD"/>
    <w:rsid w:val="00576848"/>
    <w:rsid w:val="005768EC"/>
    <w:rsid w:val="00580C85"/>
    <w:rsid w:val="00581DA4"/>
    <w:rsid w:val="005830C5"/>
    <w:rsid w:val="00586455"/>
    <w:rsid w:val="0058683E"/>
    <w:rsid w:val="00586EF1"/>
    <w:rsid w:val="00587AA2"/>
    <w:rsid w:val="005914BD"/>
    <w:rsid w:val="005916D0"/>
    <w:rsid w:val="005925A9"/>
    <w:rsid w:val="005A2AF8"/>
    <w:rsid w:val="005A59BD"/>
    <w:rsid w:val="005A6224"/>
    <w:rsid w:val="005A730E"/>
    <w:rsid w:val="005A7787"/>
    <w:rsid w:val="005A7C12"/>
    <w:rsid w:val="005B022A"/>
    <w:rsid w:val="005B3634"/>
    <w:rsid w:val="005B5C05"/>
    <w:rsid w:val="005B5D2E"/>
    <w:rsid w:val="005B69F8"/>
    <w:rsid w:val="005B78E3"/>
    <w:rsid w:val="005B7C67"/>
    <w:rsid w:val="005C0B55"/>
    <w:rsid w:val="005C1DAF"/>
    <w:rsid w:val="005C4696"/>
    <w:rsid w:val="005C65C9"/>
    <w:rsid w:val="005C747D"/>
    <w:rsid w:val="005C781B"/>
    <w:rsid w:val="005D0F0C"/>
    <w:rsid w:val="005D4EED"/>
    <w:rsid w:val="005D57C5"/>
    <w:rsid w:val="005D57F3"/>
    <w:rsid w:val="005E0A8D"/>
    <w:rsid w:val="005E0D99"/>
    <w:rsid w:val="005E0DFC"/>
    <w:rsid w:val="005E18E0"/>
    <w:rsid w:val="005E1EEF"/>
    <w:rsid w:val="005E28F9"/>
    <w:rsid w:val="005E35B2"/>
    <w:rsid w:val="005E3E10"/>
    <w:rsid w:val="005E40B2"/>
    <w:rsid w:val="005E4EC1"/>
    <w:rsid w:val="005E57C5"/>
    <w:rsid w:val="005E7102"/>
    <w:rsid w:val="005F512D"/>
    <w:rsid w:val="005F5986"/>
    <w:rsid w:val="005F6735"/>
    <w:rsid w:val="005F688C"/>
    <w:rsid w:val="006004D8"/>
    <w:rsid w:val="00601E9B"/>
    <w:rsid w:val="00604C16"/>
    <w:rsid w:val="006050A7"/>
    <w:rsid w:val="00605687"/>
    <w:rsid w:val="0060583E"/>
    <w:rsid w:val="0060619F"/>
    <w:rsid w:val="00606863"/>
    <w:rsid w:val="006105FF"/>
    <w:rsid w:val="0061289B"/>
    <w:rsid w:val="00613051"/>
    <w:rsid w:val="00613444"/>
    <w:rsid w:val="006142AD"/>
    <w:rsid w:val="00617D96"/>
    <w:rsid w:val="00617E1D"/>
    <w:rsid w:val="006203C7"/>
    <w:rsid w:val="0062369C"/>
    <w:rsid w:val="00624644"/>
    <w:rsid w:val="00626C7D"/>
    <w:rsid w:val="00627FB3"/>
    <w:rsid w:val="0063036B"/>
    <w:rsid w:val="0063070F"/>
    <w:rsid w:val="00631B50"/>
    <w:rsid w:val="0063215D"/>
    <w:rsid w:val="006323CC"/>
    <w:rsid w:val="00641D95"/>
    <w:rsid w:val="00643880"/>
    <w:rsid w:val="006438D3"/>
    <w:rsid w:val="00644947"/>
    <w:rsid w:val="00646399"/>
    <w:rsid w:val="006470BC"/>
    <w:rsid w:val="006471DE"/>
    <w:rsid w:val="006507F9"/>
    <w:rsid w:val="006515D5"/>
    <w:rsid w:val="00654DAA"/>
    <w:rsid w:val="00655AB0"/>
    <w:rsid w:val="00656B57"/>
    <w:rsid w:val="00656D8A"/>
    <w:rsid w:val="00657017"/>
    <w:rsid w:val="006615BA"/>
    <w:rsid w:val="00662A03"/>
    <w:rsid w:val="006636AB"/>
    <w:rsid w:val="006642A7"/>
    <w:rsid w:val="00664DDE"/>
    <w:rsid w:val="00666A0A"/>
    <w:rsid w:val="0067347F"/>
    <w:rsid w:val="00673E4E"/>
    <w:rsid w:val="00675232"/>
    <w:rsid w:val="006758FE"/>
    <w:rsid w:val="006760B6"/>
    <w:rsid w:val="00676BE9"/>
    <w:rsid w:val="00676F47"/>
    <w:rsid w:val="00680350"/>
    <w:rsid w:val="006808C8"/>
    <w:rsid w:val="00681D06"/>
    <w:rsid w:val="00687C0C"/>
    <w:rsid w:val="00687E0B"/>
    <w:rsid w:val="006910DA"/>
    <w:rsid w:val="00697471"/>
    <w:rsid w:val="00697DDE"/>
    <w:rsid w:val="006A1C78"/>
    <w:rsid w:val="006A3588"/>
    <w:rsid w:val="006A40D3"/>
    <w:rsid w:val="006A4537"/>
    <w:rsid w:val="006B2439"/>
    <w:rsid w:val="006B2E83"/>
    <w:rsid w:val="006B7843"/>
    <w:rsid w:val="006C166D"/>
    <w:rsid w:val="006C1738"/>
    <w:rsid w:val="006C2E89"/>
    <w:rsid w:val="006C3528"/>
    <w:rsid w:val="006C4CF8"/>
    <w:rsid w:val="006C701F"/>
    <w:rsid w:val="006D136A"/>
    <w:rsid w:val="006D28DE"/>
    <w:rsid w:val="006D3D46"/>
    <w:rsid w:val="006D3D4C"/>
    <w:rsid w:val="006D4036"/>
    <w:rsid w:val="006D7772"/>
    <w:rsid w:val="006E07AE"/>
    <w:rsid w:val="006E3765"/>
    <w:rsid w:val="006E488C"/>
    <w:rsid w:val="006E704A"/>
    <w:rsid w:val="006E75EA"/>
    <w:rsid w:val="006F1202"/>
    <w:rsid w:val="006F1B74"/>
    <w:rsid w:val="006F5F97"/>
    <w:rsid w:val="006F76EE"/>
    <w:rsid w:val="007005C0"/>
    <w:rsid w:val="00700929"/>
    <w:rsid w:val="00701175"/>
    <w:rsid w:val="00701C3E"/>
    <w:rsid w:val="007039EB"/>
    <w:rsid w:val="00703AD5"/>
    <w:rsid w:val="0070466A"/>
    <w:rsid w:val="0070584E"/>
    <w:rsid w:val="0070609D"/>
    <w:rsid w:val="007116BD"/>
    <w:rsid w:val="00711B6B"/>
    <w:rsid w:val="00711EDB"/>
    <w:rsid w:val="00711F42"/>
    <w:rsid w:val="007132DB"/>
    <w:rsid w:val="007139CD"/>
    <w:rsid w:val="007160E9"/>
    <w:rsid w:val="0071697A"/>
    <w:rsid w:val="00716BF1"/>
    <w:rsid w:val="007175A6"/>
    <w:rsid w:val="00721B78"/>
    <w:rsid w:val="007220E3"/>
    <w:rsid w:val="00725764"/>
    <w:rsid w:val="00727920"/>
    <w:rsid w:val="00730EB7"/>
    <w:rsid w:val="007348AA"/>
    <w:rsid w:val="00737988"/>
    <w:rsid w:val="007408ED"/>
    <w:rsid w:val="00741613"/>
    <w:rsid w:val="007427E4"/>
    <w:rsid w:val="007433F0"/>
    <w:rsid w:val="007443E9"/>
    <w:rsid w:val="0074742C"/>
    <w:rsid w:val="00747B72"/>
    <w:rsid w:val="00751073"/>
    <w:rsid w:val="007519AA"/>
    <w:rsid w:val="00753428"/>
    <w:rsid w:val="00754F08"/>
    <w:rsid w:val="0076055F"/>
    <w:rsid w:val="00760C25"/>
    <w:rsid w:val="00760C69"/>
    <w:rsid w:val="007638EA"/>
    <w:rsid w:val="007673E4"/>
    <w:rsid w:val="00767B44"/>
    <w:rsid w:val="00771224"/>
    <w:rsid w:val="00772409"/>
    <w:rsid w:val="0077322F"/>
    <w:rsid w:val="00773421"/>
    <w:rsid w:val="0077366D"/>
    <w:rsid w:val="00774A23"/>
    <w:rsid w:val="007815C8"/>
    <w:rsid w:val="00784749"/>
    <w:rsid w:val="007869EE"/>
    <w:rsid w:val="00790F71"/>
    <w:rsid w:val="00796564"/>
    <w:rsid w:val="00797791"/>
    <w:rsid w:val="007A050A"/>
    <w:rsid w:val="007A0BE0"/>
    <w:rsid w:val="007A1398"/>
    <w:rsid w:val="007A27CB"/>
    <w:rsid w:val="007A4B72"/>
    <w:rsid w:val="007A5A88"/>
    <w:rsid w:val="007A5F3B"/>
    <w:rsid w:val="007A61F6"/>
    <w:rsid w:val="007A64B5"/>
    <w:rsid w:val="007A751D"/>
    <w:rsid w:val="007A763C"/>
    <w:rsid w:val="007B0F7E"/>
    <w:rsid w:val="007B2642"/>
    <w:rsid w:val="007B3217"/>
    <w:rsid w:val="007B48B7"/>
    <w:rsid w:val="007B5B19"/>
    <w:rsid w:val="007B6386"/>
    <w:rsid w:val="007B6569"/>
    <w:rsid w:val="007B6BCC"/>
    <w:rsid w:val="007B738C"/>
    <w:rsid w:val="007C0B62"/>
    <w:rsid w:val="007C18AE"/>
    <w:rsid w:val="007C53B2"/>
    <w:rsid w:val="007D01AF"/>
    <w:rsid w:val="007D0B79"/>
    <w:rsid w:val="007D2491"/>
    <w:rsid w:val="007D3A14"/>
    <w:rsid w:val="007D4201"/>
    <w:rsid w:val="007D5AB5"/>
    <w:rsid w:val="007D63DB"/>
    <w:rsid w:val="007D6F25"/>
    <w:rsid w:val="007D78C4"/>
    <w:rsid w:val="007D79E5"/>
    <w:rsid w:val="007E0A93"/>
    <w:rsid w:val="007E36DF"/>
    <w:rsid w:val="007E4369"/>
    <w:rsid w:val="007E6F24"/>
    <w:rsid w:val="007E77F9"/>
    <w:rsid w:val="007E7970"/>
    <w:rsid w:val="007F0578"/>
    <w:rsid w:val="007F0DDB"/>
    <w:rsid w:val="007F35E0"/>
    <w:rsid w:val="007F3CC8"/>
    <w:rsid w:val="007F4724"/>
    <w:rsid w:val="007F4CB7"/>
    <w:rsid w:val="007F59DC"/>
    <w:rsid w:val="008013E6"/>
    <w:rsid w:val="00803BCB"/>
    <w:rsid w:val="00804346"/>
    <w:rsid w:val="00805374"/>
    <w:rsid w:val="00806DC6"/>
    <w:rsid w:val="0080727D"/>
    <w:rsid w:val="00810CA9"/>
    <w:rsid w:val="00813058"/>
    <w:rsid w:val="00813379"/>
    <w:rsid w:val="00817B81"/>
    <w:rsid w:val="00821BCE"/>
    <w:rsid w:val="00824000"/>
    <w:rsid w:val="008258A3"/>
    <w:rsid w:val="00826226"/>
    <w:rsid w:val="008270DE"/>
    <w:rsid w:val="008312D5"/>
    <w:rsid w:val="008313DC"/>
    <w:rsid w:val="00834E9F"/>
    <w:rsid w:val="00835044"/>
    <w:rsid w:val="0084044C"/>
    <w:rsid w:val="008422A9"/>
    <w:rsid w:val="0084269F"/>
    <w:rsid w:val="00842D3D"/>
    <w:rsid w:val="0085046F"/>
    <w:rsid w:val="00851A3F"/>
    <w:rsid w:val="008600AC"/>
    <w:rsid w:val="00863988"/>
    <w:rsid w:val="00865429"/>
    <w:rsid w:val="00866A9A"/>
    <w:rsid w:val="00866C77"/>
    <w:rsid w:val="00874396"/>
    <w:rsid w:val="008763C7"/>
    <w:rsid w:val="00876A9F"/>
    <w:rsid w:val="00881D13"/>
    <w:rsid w:val="00882FD8"/>
    <w:rsid w:val="00883580"/>
    <w:rsid w:val="00883E37"/>
    <w:rsid w:val="008846DA"/>
    <w:rsid w:val="00884904"/>
    <w:rsid w:val="00884E89"/>
    <w:rsid w:val="0088672F"/>
    <w:rsid w:val="0088787B"/>
    <w:rsid w:val="00887AFD"/>
    <w:rsid w:val="00887E62"/>
    <w:rsid w:val="008906BE"/>
    <w:rsid w:val="0089116F"/>
    <w:rsid w:val="008918A3"/>
    <w:rsid w:val="00891F9C"/>
    <w:rsid w:val="008920C2"/>
    <w:rsid w:val="00892719"/>
    <w:rsid w:val="00894524"/>
    <w:rsid w:val="0089460B"/>
    <w:rsid w:val="008953C9"/>
    <w:rsid w:val="00895A62"/>
    <w:rsid w:val="00895ABA"/>
    <w:rsid w:val="00895C2C"/>
    <w:rsid w:val="00896E06"/>
    <w:rsid w:val="008A5F29"/>
    <w:rsid w:val="008A7C3E"/>
    <w:rsid w:val="008B0EB2"/>
    <w:rsid w:val="008B2F32"/>
    <w:rsid w:val="008B6EEB"/>
    <w:rsid w:val="008B73A9"/>
    <w:rsid w:val="008B7B4B"/>
    <w:rsid w:val="008C0265"/>
    <w:rsid w:val="008C084A"/>
    <w:rsid w:val="008C46A9"/>
    <w:rsid w:val="008C48D3"/>
    <w:rsid w:val="008C5E21"/>
    <w:rsid w:val="008C6296"/>
    <w:rsid w:val="008D125C"/>
    <w:rsid w:val="008D53F2"/>
    <w:rsid w:val="008D6426"/>
    <w:rsid w:val="008D7EC2"/>
    <w:rsid w:val="008E13F9"/>
    <w:rsid w:val="008E19CB"/>
    <w:rsid w:val="008E3426"/>
    <w:rsid w:val="008E348A"/>
    <w:rsid w:val="008E3594"/>
    <w:rsid w:val="008E365C"/>
    <w:rsid w:val="008E42A5"/>
    <w:rsid w:val="008E6233"/>
    <w:rsid w:val="008E7A10"/>
    <w:rsid w:val="008F3842"/>
    <w:rsid w:val="008F479A"/>
    <w:rsid w:val="008F48A9"/>
    <w:rsid w:val="008F4B3B"/>
    <w:rsid w:val="008F50DA"/>
    <w:rsid w:val="008F64DD"/>
    <w:rsid w:val="009009B8"/>
    <w:rsid w:val="00901496"/>
    <w:rsid w:val="00902352"/>
    <w:rsid w:val="00903A15"/>
    <w:rsid w:val="009106FC"/>
    <w:rsid w:val="00910F29"/>
    <w:rsid w:val="00911107"/>
    <w:rsid w:val="0091361E"/>
    <w:rsid w:val="00914BC5"/>
    <w:rsid w:val="00922456"/>
    <w:rsid w:val="00922791"/>
    <w:rsid w:val="00923061"/>
    <w:rsid w:val="009230AD"/>
    <w:rsid w:val="00924EA9"/>
    <w:rsid w:val="009257E0"/>
    <w:rsid w:val="00927D5E"/>
    <w:rsid w:val="00932E15"/>
    <w:rsid w:val="00933AFF"/>
    <w:rsid w:val="00933DDF"/>
    <w:rsid w:val="00934C59"/>
    <w:rsid w:val="009351F7"/>
    <w:rsid w:val="009375C6"/>
    <w:rsid w:val="009430BB"/>
    <w:rsid w:val="00943501"/>
    <w:rsid w:val="00943DF9"/>
    <w:rsid w:val="009444D1"/>
    <w:rsid w:val="009533F5"/>
    <w:rsid w:val="009555F8"/>
    <w:rsid w:val="0096037D"/>
    <w:rsid w:val="00962329"/>
    <w:rsid w:val="00966C47"/>
    <w:rsid w:val="00967A93"/>
    <w:rsid w:val="00970FC5"/>
    <w:rsid w:val="009715FE"/>
    <w:rsid w:val="009718D4"/>
    <w:rsid w:val="00971FD4"/>
    <w:rsid w:val="009728DC"/>
    <w:rsid w:val="00973969"/>
    <w:rsid w:val="0097401D"/>
    <w:rsid w:val="00977E3D"/>
    <w:rsid w:val="009804FE"/>
    <w:rsid w:val="00981639"/>
    <w:rsid w:val="00984730"/>
    <w:rsid w:val="00985A1F"/>
    <w:rsid w:val="00986D4C"/>
    <w:rsid w:val="00990124"/>
    <w:rsid w:val="00990C60"/>
    <w:rsid w:val="00991F81"/>
    <w:rsid w:val="009947AF"/>
    <w:rsid w:val="00995A81"/>
    <w:rsid w:val="00995D16"/>
    <w:rsid w:val="0099698B"/>
    <w:rsid w:val="009A1181"/>
    <w:rsid w:val="009A29A5"/>
    <w:rsid w:val="009A3779"/>
    <w:rsid w:val="009A38C5"/>
    <w:rsid w:val="009A4737"/>
    <w:rsid w:val="009A5234"/>
    <w:rsid w:val="009A5AD0"/>
    <w:rsid w:val="009B3B81"/>
    <w:rsid w:val="009B5070"/>
    <w:rsid w:val="009B56F8"/>
    <w:rsid w:val="009B60CB"/>
    <w:rsid w:val="009C0D03"/>
    <w:rsid w:val="009C1AB5"/>
    <w:rsid w:val="009C2481"/>
    <w:rsid w:val="009C6E8A"/>
    <w:rsid w:val="009D060C"/>
    <w:rsid w:val="009D1A5A"/>
    <w:rsid w:val="009D1AF5"/>
    <w:rsid w:val="009D2159"/>
    <w:rsid w:val="009D26E0"/>
    <w:rsid w:val="009D2FD2"/>
    <w:rsid w:val="009D6633"/>
    <w:rsid w:val="009D6F1D"/>
    <w:rsid w:val="009D6F90"/>
    <w:rsid w:val="009D74A6"/>
    <w:rsid w:val="009D76B4"/>
    <w:rsid w:val="009E0EEC"/>
    <w:rsid w:val="009E1077"/>
    <w:rsid w:val="009E1979"/>
    <w:rsid w:val="009E3018"/>
    <w:rsid w:val="009E3CB9"/>
    <w:rsid w:val="009F0DCE"/>
    <w:rsid w:val="009F26E0"/>
    <w:rsid w:val="009F3126"/>
    <w:rsid w:val="009F6A02"/>
    <w:rsid w:val="00A0163C"/>
    <w:rsid w:val="00A01C7E"/>
    <w:rsid w:val="00A04377"/>
    <w:rsid w:val="00A0536A"/>
    <w:rsid w:val="00A06AE2"/>
    <w:rsid w:val="00A10469"/>
    <w:rsid w:val="00A11EA4"/>
    <w:rsid w:val="00A12FB7"/>
    <w:rsid w:val="00A13293"/>
    <w:rsid w:val="00A148C3"/>
    <w:rsid w:val="00A167FD"/>
    <w:rsid w:val="00A24CBB"/>
    <w:rsid w:val="00A25032"/>
    <w:rsid w:val="00A27DCF"/>
    <w:rsid w:val="00A31837"/>
    <w:rsid w:val="00A31E40"/>
    <w:rsid w:val="00A32A7A"/>
    <w:rsid w:val="00A32DA3"/>
    <w:rsid w:val="00A349CC"/>
    <w:rsid w:val="00A34C95"/>
    <w:rsid w:val="00A3676E"/>
    <w:rsid w:val="00A36985"/>
    <w:rsid w:val="00A36E60"/>
    <w:rsid w:val="00A40DBD"/>
    <w:rsid w:val="00A412BB"/>
    <w:rsid w:val="00A412EB"/>
    <w:rsid w:val="00A44801"/>
    <w:rsid w:val="00A44A33"/>
    <w:rsid w:val="00A45762"/>
    <w:rsid w:val="00A4686A"/>
    <w:rsid w:val="00A46897"/>
    <w:rsid w:val="00A46988"/>
    <w:rsid w:val="00A46B42"/>
    <w:rsid w:val="00A476DD"/>
    <w:rsid w:val="00A5151C"/>
    <w:rsid w:val="00A5564A"/>
    <w:rsid w:val="00A5792B"/>
    <w:rsid w:val="00A60D50"/>
    <w:rsid w:val="00A662A0"/>
    <w:rsid w:val="00A66983"/>
    <w:rsid w:val="00A67A59"/>
    <w:rsid w:val="00A67EBF"/>
    <w:rsid w:val="00A70FAB"/>
    <w:rsid w:val="00A7260E"/>
    <w:rsid w:val="00A7383E"/>
    <w:rsid w:val="00A74117"/>
    <w:rsid w:val="00A74A13"/>
    <w:rsid w:val="00A74E83"/>
    <w:rsid w:val="00A815EE"/>
    <w:rsid w:val="00A82240"/>
    <w:rsid w:val="00A8282F"/>
    <w:rsid w:val="00A85E5A"/>
    <w:rsid w:val="00A873B0"/>
    <w:rsid w:val="00A90DC4"/>
    <w:rsid w:val="00AA1E52"/>
    <w:rsid w:val="00AA317A"/>
    <w:rsid w:val="00AA33B5"/>
    <w:rsid w:val="00AA3ED7"/>
    <w:rsid w:val="00AA5E64"/>
    <w:rsid w:val="00AA7304"/>
    <w:rsid w:val="00AB0401"/>
    <w:rsid w:val="00AB1EE8"/>
    <w:rsid w:val="00AB247E"/>
    <w:rsid w:val="00AB3BB4"/>
    <w:rsid w:val="00AB450F"/>
    <w:rsid w:val="00AC03AA"/>
    <w:rsid w:val="00AC1C2A"/>
    <w:rsid w:val="00AC33E4"/>
    <w:rsid w:val="00AC3728"/>
    <w:rsid w:val="00AC49B1"/>
    <w:rsid w:val="00AC4E3C"/>
    <w:rsid w:val="00AC5296"/>
    <w:rsid w:val="00AC5709"/>
    <w:rsid w:val="00AC5B25"/>
    <w:rsid w:val="00AC6FB0"/>
    <w:rsid w:val="00AC76E5"/>
    <w:rsid w:val="00AD18A3"/>
    <w:rsid w:val="00AD2DA2"/>
    <w:rsid w:val="00AD3282"/>
    <w:rsid w:val="00AD473E"/>
    <w:rsid w:val="00AD63CD"/>
    <w:rsid w:val="00AE0DD1"/>
    <w:rsid w:val="00AE151F"/>
    <w:rsid w:val="00AE1E11"/>
    <w:rsid w:val="00AE23CD"/>
    <w:rsid w:val="00AE55D5"/>
    <w:rsid w:val="00AE6D10"/>
    <w:rsid w:val="00AE76AF"/>
    <w:rsid w:val="00AE7C64"/>
    <w:rsid w:val="00AE7D53"/>
    <w:rsid w:val="00AF126A"/>
    <w:rsid w:val="00AF40F3"/>
    <w:rsid w:val="00AF421F"/>
    <w:rsid w:val="00AF616C"/>
    <w:rsid w:val="00B002E4"/>
    <w:rsid w:val="00B009B3"/>
    <w:rsid w:val="00B00C0C"/>
    <w:rsid w:val="00B01995"/>
    <w:rsid w:val="00B01CDF"/>
    <w:rsid w:val="00B02034"/>
    <w:rsid w:val="00B049FF"/>
    <w:rsid w:val="00B0558A"/>
    <w:rsid w:val="00B05A9D"/>
    <w:rsid w:val="00B068BF"/>
    <w:rsid w:val="00B10973"/>
    <w:rsid w:val="00B114C8"/>
    <w:rsid w:val="00B116DF"/>
    <w:rsid w:val="00B13059"/>
    <w:rsid w:val="00B1461C"/>
    <w:rsid w:val="00B14AD6"/>
    <w:rsid w:val="00B156F0"/>
    <w:rsid w:val="00B15793"/>
    <w:rsid w:val="00B16CFA"/>
    <w:rsid w:val="00B16FD9"/>
    <w:rsid w:val="00B20BC0"/>
    <w:rsid w:val="00B21422"/>
    <w:rsid w:val="00B2193E"/>
    <w:rsid w:val="00B22891"/>
    <w:rsid w:val="00B22B1A"/>
    <w:rsid w:val="00B2366F"/>
    <w:rsid w:val="00B23AFE"/>
    <w:rsid w:val="00B24A0B"/>
    <w:rsid w:val="00B25908"/>
    <w:rsid w:val="00B259B7"/>
    <w:rsid w:val="00B26BC7"/>
    <w:rsid w:val="00B26E16"/>
    <w:rsid w:val="00B318D8"/>
    <w:rsid w:val="00B31A09"/>
    <w:rsid w:val="00B327A0"/>
    <w:rsid w:val="00B330BC"/>
    <w:rsid w:val="00B345E1"/>
    <w:rsid w:val="00B351CF"/>
    <w:rsid w:val="00B4020C"/>
    <w:rsid w:val="00B41D05"/>
    <w:rsid w:val="00B457DD"/>
    <w:rsid w:val="00B45DD9"/>
    <w:rsid w:val="00B4695B"/>
    <w:rsid w:val="00B47713"/>
    <w:rsid w:val="00B47FC9"/>
    <w:rsid w:val="00B5199B"/>
    <w:rsid w:val="00B55480"/>
    <w:rsid w:val="00B554D2"/>
    <w:rsid w:val="00B56C7A"/>
    <w:rsid w:val="00B6181D"/>
    <w:rsid w:val="00B62B2F"/>
    <w:rsid w:val="00B6786F"/>
    <w:rsid w:val="00B71254"/>
    <w:rsid w:val="00B71CDC"/>
    <w:rsid w:val="00B72285"/>
    <w:rsid w:val="00B72C27"/>
    <w:rsid w:val="00B75088"/>
    <w:rsid w:val="00B75A5B"/>
    <w:rsid w:val="00B75AED"/>
    <w:rsid w:val="00B76880"/>
    <w:rsid w:val="00B76C4D"/>
    <w:rsid w:val="00B80268"/>
    <w:rsid w:val="00B812B3"/>
    <w:rsid w:val="00B813C3"/>
    <w:rsid w:val="00B81542"/>
    <w:rsid w:val="00B81A9F"/>
    <w:rsid w:val="00B81D7C"/>
    <w:rsid w:val="00B82CD7"/>
    <w:rsid w:val="00B85307"/>
    <w:rsid w:val="00B85CA2"/>
    <w:rsid w:val="00B860B0"/>
    <w:rsid w:val="00B87A32"/>
    <w:rsid w:val="00B90C82"/>
    <w:rsid w:val="00B91162"/>
    <w:rsid w:val="00B923CE"/>
    <w:rsid w:val="00B9305A"/>
    <w:rsid w:val="00B93CF1"/>
    <w:rsid w:val="00B95500"/>
    <w:rsid w:val="00B96C4B"/>
    <w:rsid w:val="00BA1416"/>
    <w:rsid w:val="00BA213C"/>
    <w:rsid w:val="00BA21DC"/>
    <w:rsid w:val="00BA2D13"/>
    <w:rsid w:val="00BA38A7"/>
    <w:rsid w:val="00BA4B99"/>
    <w:rsid w:val="00BB1098"/>
    <w:rsid w:val="00BB41EF"/>
    <w:rsid w:val="00BB5440"/>
    <w:rsid w:val="00BB781C"/>
    <w:rsid w:val="00BC0ACA"/>
    <w:rsid w:val="00BC0D8A"/>
    <w:rsid w:val="00BC51FE"/>
    <w:rsid w:val="00BC6305"/>
    <w:rsid w:val="00BD2465"/>
    <w:rsid w:val="00BD2E51"/>
    <w:rsid w:val="00BD3018"/>
    <w:rsid w:val="00BD41EC"/>
    <w:rsid w:val="00BD6638"/>
    <w:rsid w:val="00BE127A"/>
    <w:rsid w:val="00BE1998"/>
    <w:rsid w:val="00BE3360"/>
    <w:rsid w:val="00BE6B77"/>
    <w:rsid w:val="00BE7B0C"/>
    <w:rsid w:val="00BF03E3"/>
    <w:rsid w:val="00BF06EA"/>
    <w:rsid w:val="00BF3796"/>
    <w:rsid w:val="00BF3DFC"/>
    <w:rsid w:val="00BF5514"/>
    <w:rsid w:val="00BF6111"/>
    <w:rsid w:val="00BF62BB"/>
    <w:rsid w:val="00BF7D4E"/>
    <w:rsid w:val="00C00292"/>
    <w:rsid w:val="00C03642"/>
    <w:rsid w:val="00C05EB2"/>
    <w:rsid w:val="00C060CE"/>
    <w:rsid w:val="00C06F3D"/>
    <w:rsid w:val="00C072E7"/>
    <w:rsid w:val="00C109DB"/>
    <w:rsid w:val="00C11515"/>
    <w:rsid w:val="00C11AC1"/>
    <w:rsid w:val="00C131A1"/>
    <w:rsid w:val="00C14BC8"/>
    <w:rsid w:val="00C15814"/>
    <w:rsid w:val="00C17325"/>
    <w:rsid w:val="00C2195E"/>
    <w:rsid w:val="00C22E78"/>
    <w:rsid w:val="00C242DC"/>
    <w:rsid w:val="00C24C8C"/>
    <w:rsid w:val="00C25494"/>
    <w:rsid w:val="00C27315"/>
    <w:rsid w:val="00C31694"/>
    <w:rsid w:val="00C31E87"/>
    <w:rsid w:val="00C3258B"/>
    <w:rsid w:val="00C34268"/>
    <w:rsid w:val="00C366B3"/>
    <w:rsid w:val="00C366EF"/>
    <w:rsid w:val="00C374FF"/>
    <w:rsid w:val="00C405F2"/>
    <w:rsid w:val="00C4079F"/>
    <w:rsid w:val="00C4092D"/>
    <w:rsid w:val="00C41C55"/>
    <w:rsid w:val="00C425D2"/>
    <w:rsid w:val="00C43D43"/>
    <w:rsid w:val="00C43EDB"/>
    <w:rsid w:val="00C4414A"/>
    <w:rsid w:val="00C5190C"/>
    <w:rsid w:val="00C545BC"/>
    <w:rsid w:val="00C55CDE"/>
    <w:rsid w:val="00C60195"/>
    <w:rsid w:val="00C60319"/>
    <w:rsid w:val="00C607D2"/>
    <w:rsid w:val="00C60946"/>
    <w:rsid w:val="00C610BA"/>
    <w:rsid w:val="00C65ABD"/>
    <w:rsid w:val="00C70821"/>
    <w:rsid w:val="00C747C4"/>
    <w:rsid w:val="00C75B93"/>
    <w:rsid w:val="00C77454"/>
    <w:rsid w:val="00C8158E"/>
    <w:rsid w:val="00C815F7"/>
    <w:rsid w:val="00C82390"/>
    <w:rsid w:val="00C83EE6"/>
    <w:rsid w:val="00C83FD3"/>
    <w:rsid w:val="00C84439"/>
    <w:rsid w:val="00C85F83"/>
    <w:rsid w:val="00C86D11"/>
    <w:rsid w:val="00C9034D"/>
    <w:rsid w:val="00C93786"/>
    <w:rsid w:val="00C93B12"/>
    <w:rsid w:val="00C953BA"/>
    <w:rsid w:val="00C96AFE"/>
    <w:rsid w:val="00C96B20"/>
    <w:rsid w:val="00C96F6A"/>
    <w:rsid w:val="00CA13F2"/>
    <w:rsid w:val="00CA1958"/>
    <w:rsid w:val="00CA5C58"/>
    <w:rsid w:val="00CA6149"/>
    <w:rsid w:val="00CA666B"/>
    <w:rsid w:val="00CB05A9"/>
    <w:rsid w:val="00CB1948"/>
    <w:rsid w:val="00CB1FF8"/>
    <w:rsid w:val="00CB3052"/>
    <w:rsid w:val="00CB36DE"/>
    <w:rsid w:val="00CB3AF8"/>
    <w:rsid w:val="00CB414E"/>
    <w:rsid w:val="00CB52CE"/>
    <w:rsid w:val="00CB5340"/>
    <w:rsid w:val="00CB7DAA"/>
    <w:rsid w:val="00CC493C"/>
    <w:rsid w:val="00CC4B74"/>
    <w:rsid w:val="00CC535F"/>
    <w:rsid w:val="00CC56AD"/>
    <w:rsid w:val="00CC7578"/>
    <w:rsid w:val="00CD16C8"/>
    <w:rsid w:val="00CD2834"/>
    <w:rsid w:val="00CD6288"/>
    <w:rsid w:val="00CE102A"/>
    <w:rsid w:val="00CE31CB"/>
    <w:rsid w:val="00CE31DB"/>
    <w:rsid w:val="00CE3680"/>
    <w:rsid w:val="00CE5D7A"/>
    <w:rsid w:val="00CF0672"/>
    <w:rsid w:val="00CF33A3"/>
    <w:rsid w:val="00CF3520"/>
    <w:rsid w:val="00CF55AC"/>
    <w:rsid w:val="00CF5A6B"/>
    <w:rsid w:val="00D0133C"/>
    <w:rsid w:val="00D06421"/>
    <w:rsid w:val="00D06C5A"/>
    <w:rsid w:val="00D11389"/>
    <w:rsid w:val="00D1139A"/>
    <w:rsid w:val="00D113BB"/>
    <w:rsid w:val="00D11493"/>
    <w:rsid w:val="00D1186A"/>
    <w:rsid w:val="00D12708"/>
    <w:rsid w:val="00D12C3A"/>
    <w:rsid w:val="00D12D7D"/>
    <w:rsid w:val="00D1465F"/>
    <w:rsid w:val="00D158D3"/>
    <w:rsid w:val="00D17210"/>
    <w:rsid w:val="00D179CE"/>
    <w:rsid w:val="00D20A7A"/>
    <w:rsid w:val="00D23593"/>
    <w:rsid w:val="00D25891"/>
    <w:rsid w:val="00D26AA4"/>
    <w:rsid w:val="00D30AED"/>
    <w:rsid w:val="00D31D81"/>
    <w:rsid w:val="00D32D3E"/>
    <w:rsid w:val="00D34759"/>
    <w:rsid w:val="00D36628"/>
    <w:rsid w:val="00D40284"/>
    <w:rsid w:val="00D426B4"/>
    <w:rsid w:val="00D450E9"/>
    <w:rsid w:val="00D45D3F"/>
    <w:rsid w:val="00D46B4A"/>
    <w:rsid w:val="00D515E3"/>
    <w:rsid w:val="00D51E33"/>
    <w:rsid w:val="00D524CD"/>
    <w:rsid w:val="00D61F87"/>
    <w:rsid w:val="00D62E3B"/>
    <w:rsid w:val="00D704F6"/>
    <w:rsid w:val="00D7061A"/>
    <w:rsid w:val="00D72EFB"/>
    <w:rsid w:val="00D74365"/>
    <w:rsid w:val="00D7701D"/>
    <w:rsid w:val="00D80B16"/>
    <w:rsid w:val="00D80DF9"/>
    <w:rsid w:val="00D8106D"/>
    <w:rsid w:val="00D812F4"/>
    <w:rsid w:val="00D816C8"/>
    <w:rsid w:val="00D82B16"/>
    <w:rsid w:val="00D8374E"/>
    <w:rsid w:val="00D83F10"/>
    <w:rsid w:val="00D9010B"/>
    <w:rsid w:val="00D924C1"/>
    <w:rsid w:val="00D956BD"/>
    <w:rsid w:val="00D96146"/>
    <w:rsid w:val="00D97670"/>
    <w:rsid w:val="00D97DBE"/>
    <w:rsid w:val="00DA07E9"/>
    <w:rsid w:val="00DA0902"/>
    <w:rsid w:val="00DA3108"/>
    <w:rsid w:val="00DA32DC"/>
    <w:rsid w:val="00DA3C95"/>
    <w:rsid w:val="00DA6228"/>
    <w:rsid w:val="00DA6592"/>
    <w:rsid w:val="00DA7001"/>
    <w:rsid w:val="00DA783A"/>
    <w:rsid w:val="00DB2766"/>
    <w:rsid w:val="00DB4040"/>
    <w:rsid w:val="00DB447F"/>
    <w:rsid w:val="00DB5856"/>
    <w:rsid w:val="00DB5924"/>
    <w:rsid w:val="00DC076A"/>
    <w:rsid w:val="00DC14AB"/>
    <w:rsid w:val="00DC40CE"/>
    <w:rsid w:val="00DC7052"/>
    <w:rsid w:val="00DC78E2"/>
    <w:rsid w:val="00DC7923"/>
    <w:rsid w:val="00DD1221"/>
    <w:rsid w:val="00DD12D6"/>
    <w:rsid w:val="00DD2C36"/>
    <w:rsid w:val="00DD34B9"/>
    <w:rsid w:val="00DD440F"/>
    <w:rsid w:val="00DD4A5A"/>
    <w:rsid w:val="00DD4F03"/>
    <w:rsid w:val="00DD5C52"/>
    <w:rsid w:val="00DE04FB"/>
    <w:rsid w:val="00DE2DF8"/>
    <w:rsid w:val="00DE31D5"/>
    <w:rsid w:val="00DE4211"/>
    <w:rsid w:val="00DE711D"/>
    <w:rsid w:val="00DF0122"/>
    <w:rsid w:val="00DF0FAC"/>
    <w:rsid w:val="00DF16B3"/>
    <w:rsid w:val="00DF18B1"/>
    <w:rsid w:val="00DF1CD9"/>
    <w:rsid w:val="00DF2474"/>
    <w:rsid w:val="00DF42D8"/>
    <w:rsid w:val="00DF57E8"/>
    <w:rsid w:val="00DF626D"/>
    <w:rsid w:val="00DF70AB"/>
    <w:rsid w:val="00DF7255"/>
    <w:rsid w:val="00E0065E"/>
    <w:rsid w:val="00E01CCA"/>
    <w:rsid w:val="00E03BD2"/>
    <w:rsid w:val="00E04BB7"/>
    <w:rsid w:val="00E06FF2"/>
    <w:rsid w:val="00E07292"/>
    <w:rsid w:val="00E07F14"/>
    <w:rsid w:val="00E10C6D"/>
    <w:rsid w:val="00E11B7A"/>
    <w:rsid w:val="00E11D4C"/>
    <w:rsid w:val="00E12D9B"/>
    <w:rsid w:val="00E14902"/>
    <w:rsid w:val="00E165C9"/>
    <w:rsid w:val="00E16EC6"/>
    <w:rsid w:val="00E170DF"/>
    <w:rsid w:val="00E178F3"/>
    <w:rsid w:val="00E2018C"/>
    <w:rsid w:val="00E20191"/>
    <w:rsid w:val="00E22B72"/>
    <w:rsid w:val="00E23B64"/>
    <w:rsid w:val="00E24A7C"/>
    <w:rsid w:val="00E302C6"/>
    <w:rsid w:val="00E30971"/>
    <w:rsid w:val="00E30D92"/>
    <w:rsid w:val="00E317CC"/>
    <w:rsid w:val="00E33CFF"/>
    <w:rsid w:val="00E35FF1"/>
    <w:rsid w:val="00E36FA2"/>
    <w:rsid w:val="00E37AD9"/>
    <w:rsid w:val="00E40160"/>
    <w:rsid w:val="00E42423"/>
    <w:rsid w:val="00E45611"/>
    <w:rsid w:val="00E5076F"/>
    <w:rsid w:val="00E526AE"/>
    <w:rsid w:val="00E53595"/>
    <w:rsid w:val="00E53E84"/>
    <w:rsid w:val="00E5483C"/>
    <w:rsid w:val="00E54DBD"/>
    <w:rsid w:val="00E55682"/>
    <w:rsid w:val="00E56250"/>
    <w:rsid w:val="00E56A6B"/>
    <w:rsid w:val="00E5754F"/>
    <w:rsid w:val="00E57CD4"/>
    <w:rsid w:val="00E57DA4"/>
    <w:rsid w:val="00E60F67"/>
    <w:rsid w:val="00E6262B"/>
    <w:rsid w:val="00E62927"/>
    <w:rsid w:val="00E7455C"/>
    <w:rsid w:val="00E7686F"/>
    <w:rsid w:val="00E76C04"/>
    <w:rsid w:val="00E76DF5"/>
    <w:rsid w:val="00E80702"/>
    <w:rsid w:val="00E822F9"/>
    <w:rsid w:val="00E82C6B"/>
    <w:rsid w:val="00E9059E"/>
    <w:rsid w:val="00E91E4D"/>
    <w:rsid w:val="00E93120"/>
    <w:rsid w:val="00E93C85"/>
    <w:rsid w:val="00E94235"/>
    <w:rsid w:val="00E95078"/>
    <w:rsid w:val="00E95A71"/>
    <w:rsid w:val="00E96C34"/>
    <w:rsid w:val="00E97BE5"/>
    <w:rsid w:val="00EA037B"/>
    <w:rsid w:val="00EA0F57"/>
    <w:rsid w:val="00EA2C44"/>
    <w:rsid w:val="00EA3D9D"/>
    <w:rsid w:val="00EA41AF"/>
    <w:rsid w:val="00EA50F8"/>
    <w:rsid w:val="00EA5B5F"/>
    <w:rsid w:val="00EB3E9A"/>
    <w:rsid w:val="00EB5AAB"/>
    <w:rsid w:val="00EB6605"/>
    <w:rsid w:val="00EB7065"/>
    <w:rsid w:val="00EB7DE6"/>
    <w:rsid w:val="00EB7E2B"/>
    <w:rsid w:val="00EC08AD"/>
    <w:rsid w:val="00EC398C"/>
    <w:rsid w:val="00EC4EF3"/>
    <w:rsid w:val="00EC6B17"/>
    <w:rsid w:val="00EC76E8"/>
    <w:rsid w:val="00ED0270"/>
    <w:rsid w:val="00ED21DB"/>
    <w:rsid w:val="00ED3A08"/>
    <w:rsid w:val="00ED3B43"/>
    <w:rsid w:val="00ED42DF"/>
    <w:rsid w:val="00ED43C3"/>
    <w:rsid w:val="00ED448C"/>
    <w:rsid w:val="00ED45FD"/>
    <w:rsid w:val="00ED5044"/>
    <w:rsid w:val="00ED59EE"/>
    <w:rsid w:val="00ED5BF5"/>
    <w:rsid w:val="00EE39B6"/>
    <w:rsid w:val="00EE752A"/>
    <w:rsid w:val="00EE754A"/>
    <w:rsid w:val="00EF2C27"/>
    <w:rsid w:val="00EF2D2A"/>
    <w:rsid w:val="00EF2D9F"/>
    <w:rsid w:val="00EF3E81"/>
    <w:rsid w:val="00EF6C11"/>
    <w:rsid w:val="00EF7EDE"/>
    <w:rsid w:val="00F00331"/>
    <w:rsid w:val="00F02192"/>
    <w:rsid w:val="00F027DC"/>
    <w:rsid w:val="00F054BE"/>
    <w:rsid w:val="00F06783"/>
    <w:rsid w:val="00F07FF3"/>
    <w:rsid w:val="00F107DB"/>
    <w:rsid w:val="00F11C33"/>
    <w:rsid w:val="00F127E1"/>
    <w:rsid w:val="00F13072"/>
    <w:rsid w:val="00F139A3"/>
    <w:rsid w:val="00F15715"/>
    <w:rsid w:val="00F20F02"/>
    <w:rsid w:val="00F21444"/>
    <w:rsid w:val="00F24ADF"/>
    <w:rsid w:val="00F26E03"/>
    <w:rsid w:val="00F3401E"/>
    <w:rsid w:val="00F3426C"/>
    <w:rsid w:val="00F34CF9"/>
    <w:rsid w:val="00F35BFA"/>
    <w:rsid w:val="00F35D32"/>
    <w:rsid w:val="00F423D5"/>
    <w:rsid w:val="00F42590"/>
    <w:rsid w:val="00F42CAA"/>
    <w:rsid w:val="00F43E21"/>
    <w:rsid w:val="00F44946"/>
    <w:rsid w:val="00F44BA6"/>
    <w:rsid w:val="00F45A1A"/>
    <w:rsid w:val="00F47970"/>
    <w:rsid w:val="00F524D6"/>
    <w:rsid w:val="00F52CA4"/>
    <w:rsid w:val="00F54376"/>
    <w:rsid w:val="00F577EA"/>
    <w:rsid w:val="00F57EE3"/>
    <w:rsid w:val="00F60758"/>
    <w:rsid w:val="00F63F73"/>
    <w:rsid w:val="00F652FE"/>
    <w:rsid w:val="00F66ECE"/>
    <w:rsid w:val="00F7189F"/>
    <w:rsid w:val="00F71CB3"/>
    <w:rsid w:val="00F72B45"/>
    <w:rsid w:val="00F74E33"/>
    <w:rsid w:val="00F75009"/>
    <w:rsid w:val="00F754F8"/>
    <w:rsid w:val="00F7577A"/>
    <w:rsid w:val="00F8079E"/>
    <w:rsid w:val="00F844E4"/>
    <w:rsid w:val="00F868E0"/>
    <w:rsid w:val="00F871D9"/>
    <w:rsid w:val="00F924AE"/>
    <w:rsid w:val="00F933BA"/>
    <w:rsid w:val="00F93C97"/>
    <w:rsid w:val="00F945E7"/>
    <w:rsid w:val="00F95AC0"/>
    <w:rsid w:val="00F96C12"/>
    <w:rsid w:val="00F9707B"/>
    <w:rsid w:val="00F97551"/>
    <w:rsid w:val="00FA6EF6"/>
    <w:rsid w:val="00FB070A"/>
    <w:rsid w:val="00FB0EA7"/>
    <w:rsid w:val="00FB1C2C"/>
    <w:rsid w:val="00FB2934"/>
    <w:rsid w:val="00FB3C3C"/>
    <w:rsid w:val="00FB4938"/>
    <w:rsid w:val="00FB4DB8"/>
    <w:rsid w:val="00FB4E15"/>
    <w:rsid w:val="00FC12C1"/>
    <w:rsid w:val="00FC4BA3"/>
    <w:rsid w:val="00FC62E4"/>
    <w:rsid w:val="00FC67A9"/>
    <w:rsid w:val="00FC744B"/>
    <w:rsid w:val="00FD09F6"/>
    <w:rsid w:val="00FD5266"/>
    <w:rsid w:val="00FD599C"/>
    <w:rsid w:val="00FD6021"/>
    <w:rsid w:val="00FD6B41"/>
    <w:rsid w:val="00FE1117"/>
    <w:rsid w:val="00FE1206"/>
    <w:rsid w:val="00FE20A4"/>
    <w:rsid w:val="00FE2261"/>
    <w:rsid w:val="00FE3EB3"/>
    <w:rsid w:val="00FE41C4"/>
    <w:rsid w:val="00FE5B3E"/>
    <w:rsid w:val="00FE66E6"/>
    <w:rsid w:val="00FF00DE"/>
    <w:rsid w:val="00FF3CA3"/>
    <w:rsid w:val="00FF404E"/>
    <w:rsid w:val="00FF6162"/>
    <w:rsid w:val="00FF69FF"/>
    <w:rsid w:val="00FF6A1E"/>
    <w:rsid w:val="00FF7331"/>
    <w:rsid w:val="06948D18"/>
    <w:rsid w:val="07C96A42"/>
    <w:rsid w:val="08235575"/>
    <w:rsid w:val="0DC4F1F9"/>
    <w:rsid w:val="0DCC9A90"/>
    <w:rsid w:val="0F7AB8FE"/>
    <w:rsid w:val="1372663A"/>
    <w:rsid w:val="1750A7BD"/>
    <w:rsid w:val="1A009197"/>
    <w:rsid w:val="1C1CFA01"/>
    <w:rsid w:val="1E0D0B73"/>
    <w:rsid w:val="1EB4E70B"/>
    <w:rsid w:val="2099378A"/>
    <w:rsid w:val="20BBCCCA"/>
    <w:rsid w:val="247C4CF7"/>
    <w:rsid w:val="262D6F95"/>
    <w:rsid w:val="27A5A73F"/>
    <w:rsid w:val="29FFB90E"/>
    <w:rsid w:val="31F20FF9"/>
    <w:rsid w:val="3217413B"/>
    <w:rsid w:val="3498323D"/>
    <w:rsid w:val="36502937"/>
    <w:rsid w:val="37365A65"/>
    <w:rsid w:val="38370A2C"/>
    <w:rsid w:val="389B51E6"/>
    <w:rsid w:val="3AC19307"/>
    <w:rsid w:val="3C328D79"/>
    <w:rsid w:val="3F560188"/>
    <w:rsid w:val="3FC3E891"/>
    <w:rsid w:val="4203F040"/>
    <w:rsid w:val="423D47E5"/>
    <w:rsid w:val="464B591D"/>
    <w:rsid w:val="46D9DF1A"/>
    <w:rsid w:val="4B960788"/>
    <w:rsid w:val="4BC30F5E"/>
    <w:rsid w:val="4E5687AC"/>
    <w:rsid w:val="4F3CC9F0"/>
    <w:rsid w:val="58D44855"/>
    <w:rsid w:val="5DDBB586"/>
    <w:rsid w:val="623E5710"/>
    <w:rsid w:val="66091F66"/>
    <w:rsid w:val="663D2FA9"/>
    <w:rsid w:val="69C10F75"/>
    <w:rsid w:val="6A9F0F2A"/>
    <w:rsid w:val="6EB262F3"/>
    <w:rsid w:val="7027A5D9"/>
    <w:rsid w:val="71C66AFE"/>
    <w:rsid w:val="74CD9DFF"/>
    <w:rsid w:val="78027AC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C9C945"/>
  <w15:docId w15:val="{316FE27E-B8D1-E14B-8B89-7F03945A5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D4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12FB7"/>
    <w:pPr>
      <w:autoSpaceDN w:val="0"/>
      <w:spacing w:before="240"/>
      <w:outlineLvl w:val="0"/>
    </w:pPr>
    <w:rPr>
      <w:rFonts w:ascii="Palatino Linotype" w:eastAsia="MS Mincho" w:hAnsi="Palatino Linotype"/>
      <w:b/>
      <w:bCs/>
      <w:color w:val="000000"/>
      <w:sz w:val="30"/>
      <w:szCs w:val="30"/>
    </w:rPr>
  </w:style>
  <w:style w:type="paragraph" w:styleId="Heading2">
    <w:name w:val="heading 2"/>
    <w:basedOn w:val="Normal"/>
    <w:next w:val="Normal"/>
    <w:link w:val="Heading2Char"/>
    <w:uiPriority w:val="9"/>
    <w:unhideWhenUsed/>
    <w:qFormat/>
    <w:rsid w:val="00ED5BF5"/>
    <w:pPr>
      <w:autoSpaceDE w:val="0"/>
      <w:autoSpaceDN w:val="0"/>
      <w:adjustRightInd w:val="0"/>
      <w:spacing w:after="140" w:line="300" w:lineRule="atLeast"/>
      <w:outlineLvl w:val="1"/>
    </w:pPr>
    <w:rPr>
      <w:rFonts w:ascii="Palatino" w:eastAsia="MS Mincho" w:hAnsi="Palatino" w:cs="LucidaBright"/>
      <w:bCs/>
      <w:color w:val="00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768EC"/>
    <w:rPr>
      <w:color w:val="0000FF"/>
      <w:u w:val="single"/>
    </w:rPr>
  </w:style>
  <w:style w:type="paragraph" w:styleId="CommentText">
    <w:name w:val="annotation text"/>
    <w:basedOn w:val="Normal"/>
    <w:link w:val="CommentTextChar"/>
    <w:uiPriority w:val="99"/>
    <w:unhideWhenUsed/>
    <w:rsid w:val="005768EC"/>
    <w:pPr>
      <w:autoSpaceDE w:val="0"/>
      <w:autoSpaceDN w:val="0"/>
      <w:adjustRightInd w:val="0"/>
      <w:spacing w:after="140"/>
    </w:pPr>
    <w:rPr>
      <w:rFonts w:ascii="Palatino" w:eastAsia="MS Mincho" w:hAnsi="Palatino" w:cs="LucidaBright"/>
      <w:bCs/>
      <w:color w:val="000000"/>
    </w:rPr>
  </w:style>
  <w:style w:type="character" w:customStyle="1" w:styleId="CommentTextChar">
    <w:name w:val="Comment Text Char"/>
    <w:basedOn w:val="DefaultParagraphFont"/>
    <w:link w:val="CommentText"/>
    <w:uiPriority w:val="99"/>
    <w:rsid w:val="005768EC"/>
    <w:rPr>
      <w:rFonts w:ascii="Palatino" w:eastAsia="MS Mincho" w:hAnsi="Palatino" w:cs="LucidaBright"/>
      <w:bCs/>
      <w:color w:val="000000"/>
      <w:sz w:val="24"/>
      <w:szCs w:val="24"/>
    </w:rPr>
  </w:style>
  <w:style w:type="paragraph" w:styleId="ListParagraph">
    <w:name w:val="List Paragraph"/>
    <w:basedOn w:val="Normal"/>
    <w:uiPriority w:val="34"/>
    <w:qFormat/>
    <w:rsid w:val="00863988"/>
    <w:pPr>
      <w:numPr>
        <w:numId w:val="18"/>
      </w:numPr>
      <w:autoSpaceDE w:val="0"/>
      <w:autoSpaceDN w:val="0"/>
      <w:adjustRightInd w:val="0"/>
    </w:pPr>
    <w:rPr>
      <w:rFonts w:eastAsia="MS Mincho" w:cstheme="minorHAnsi"/>
      <w:bCs/>
      <w:color w:val="000000"/>
    </w:rPr>
  </w:style>
  <w:style w:type="character" w:styleId="CommentReference">
    <w:name w:val="annotation reference"/>
    <w:basedOn w:val="DefaultParagraphFont"/>
    <w:uiPriority w:val="99"/>
    <w:semiHidden/>
    <w:unhideWhenUsed/>
    <w:rsid w:val="005768EC"/>
    <w:rPr>
      <w:sz w:val="18"/>
      <w:szCs w:val="18"/>
    </w:rPr>
  </w:style>
  <w:style w:type="paragraph" w:styleId="BalloonText">
    <w:name w:val="Balloon Text"/>
    <w:basedOn w:val="Normal"/>
    <w:link w:val="BalloonTextChar"/>
    <w:uiPriority w:val="99"/>
    <w:semiHidden/>
    <w:unhideWhenUsed/>
    <w:rsid w:val="005768EC"/>
    <w:pPr>
      <w:autoSpaceDE w:val="0"/>
      <w:autoSpaceDN w:val="0"/>
      <w:adjustRightInd w:val="0"/>
    </w:pPr>
    <w:rPr>
      <w:rFonts w:ascii="Segoe UI" w:eastAsia="MS Mincho" w:hAnsi="Segoe UI" w:cs="Segoe UI"/>
      <w:bCs/>
      <w:color w:val="000000"/>
      <w:sz w:val="18"/>
      <w:szCs w:val="18"/>
    </w:rPr>
  </w:style>
  <w:style w:type="character" w:customStyle="1" w:styleId="BalloonTextChar">
    <w:name w:val="Balloon Text Char"/>
    <w:basedOn w:val="DefaultParagraphFont"/>
    <w:link w:val="BalloonText"/>
    <w:uiPriority w:val="99"/>
    <w:semiHidden/>
    <w:rsid w:val="005768EC"/>
    <w:rPr>
      <w:rFonts w:ascii="Segoe UI" w:eastAsia="MS Mincho" w:hAnsi="Segoe UI" w:cs="Segoe UI"/>
      <w:bCs/>
      <w:color w:val="000000"/>
      <w:sz w:val="18"/>
      <w:szCs w:val="18"/>
    </w:rPr>
  </w:style>
  <w:style w:type="paragraph" w:styleId="Header">
    <w:name w:val="header"/>
    <w:basedOn w:val="Normal"/>
    <w:link w:val="HeaderChar"/>
    <w:uiPriority w:val="99"/>
    <w:unhideWhenUsed/>
    <w:rsid w:val="005768EC"/>
    <w:pPr>
      <w:tabs>
        <w:tab w:val="center" w:pos="4680"/>
        <w:tab w:val="right" w:pos="9360"/>
      </w:tabs>
      <w:autoSpaceDE w:val="0"/>
      <w:autoSpaceDN w:val="0"/>
      <w:adjustRightInd w:val="0"/>
    </w:pPr>
    <w:rPr>
      <w:rFonts w:ascii="Palatino" w:eastAsia="MS Mincho" w:hAnsi="Palatino" w:cs="LucidaBright"/>
      <w:bCs/>
      <w:color w:val="000000"/>
    </w:rPr>
  </w:style>
  <w:style w:type="character" w:customStyle="1" w:styleId="HeaderChar">
    <w:name w:val="Header Char"/>
    <w:basedOn w:val="DefaultParagraphFont"/>
    <w:link w:val="Header"/>
    <w:uiPriority w:val="99"/>
    <w:rsid w:val="005768EC"/>
    <w:rPr>
      <w:rFonts w:ascii="Palatino" w:eastAsia="MS Mincho" w:hAnsi="Palatino" w:cs="LucidaBright"/>
      <w:bCs/>
      <w:color w:val="000000"/>
      <w:sz w:val="24"/>
      <w:szCs w:val="24"/>
    </w:rPr>
  </w:style>
  <w:style w:type="paragraph" w:styleId="Footer">
    <w:name w:val="footer"/>
    <w:basedOn w:val="Normal"/>
    <w:link w:val="FooterChar"/>
    <w:uiPriority w:val="99"/>
    <w:unhideWhenUsed/>
    <w:rsid w:val="005768EC"/>
    <w:pPr>
      <w:tabs>
        <w:tab w:val="center" w:pos="4680"/>
        <w:tab w:val="right" w:pos="9360"/>
      </w:tabs>
      <w:autoSpaceDE w:val="0"/>
      <w:autoSpaceDN w:val="0"/>
      <w:adjustRightInd w:val="0"/>
    </w:pPr>
    <w:rPr>
      <w:rFonts w:ascii="Palatino" w:eastAsia="MS Mincho" w:hAnsi="Palatino" w:cs="LucidaBright"/>
      <w:bCs/>
      <w:color w:val="000000"/>
    </w:rPr>
  </w:style>
  <w:style w:type="character" w:customStyle="1" w:styleId="FooterChar">
    <w:name w:val="Footer Char"/>
    <w:basedOn w:val="DefaultParagraphFont"/>
    <w:link w:val="Footer"/>
    <w:uiPriority w:val="99"/>
    <w:rsid w:val="005768EC"/>
    <w:rPr>
      <w:rFonts w:ascii="Palatino" w:eastAsia="MS Mincho" w:hAnsi="Palatino" w:cs="LucidaBright"/>
      <w:bCs/>
      <w:color w:val="000000"/>
      <w:sz w:val="24"/>
      <w:szCs w:val="24"/>
    </w:rPr>
  </w:style>
  <w:style w:type="paragraph" w:customStyle="1" w:styleId="AttachmentsHeading">
    <w:name w:val="Attachments Heading"/>
    <w:basedOn w:val="Normal"/>
    <w:rsid w:val="00646399"/>
    <w:pPr>
      <w:keepNext/>
      <w:spacing w:after="120"/>
    </w:pPr>
    <w:rPr>
      <w:rFonts w:ascii="Verdana" w:hAnsi="Verdana" w:cs="Verdana"/>
      <w:b/>
      <w:bCs/>
      <w:caps/>
      <w:color w:val="333333"/>
      <w:sz w:val="20"/>
      <w:szCs w:val="16"/>
    </w:rPr>
  </w:style>
  <w:style w:type="paragraph" w:customStyle="1" w:styleId="AttachmentsLine">
    <w:name w:val="Attachments Line"/>
    <w:basedOn w:val="Normal"/>
    <w:rsid w:val="00646399"/>
    <w:pPr>
      <w:numPr>
        <w:numId w:val="6"/>
      </w:numPr>
      <w:spacing w:after="60"/>
      <w:outlineLvl w:val="0"/>
    </w:pPr>
    <w:rPr>
      <w:rFonts w:ascii="Verdana" w:hAnsi="Verdana" w:cs="Verdana"/>
      <w:color w:val="333333"/>
      <w:sz w:val="20"/>
      <w:szCs w:val="16"/>
    </w:rPr>
  </w:style>
  <w:style w:type="paragraph" w:styleId="CommentSubject">
    <w:name w:val="annotation subject"/>
    <w:basedOn w:val="CommentText"/>
    <w:next w:val="CommentText"/>
    <w:link w:val="CommentSubjectChar"/>
    <w:uiPriority w:val="99"/>
    <w:semiHidden/>
    <w:unhideWhenUsed/>
    <w:rsid w:val="00966C47"/>
    <w:rPr>
      <w:b/>
      <w:sz w:val="20"/>
      <w:szCs w:val="20"/>
    </w:rPr>
  </w:style>
  <w:style w:type="character" w:customStyle="1" w:styleId="CommentSubjectChar">
    <w:name w:val="Comment Subject Char"/>
    <w:basedOn w:val="CommentTextChar"/>
    <w:link w:val="CommentSubject"/>
    <w:uiPriority w:val="99"/>
    <w:semiHidden/>
    <w:rsid w:val="00966C47"/>
    <w:rPr>
      <w:rFonts w:ascii="Palatino" w:eastAsia="MS Mincho" w:hAnsi="Palatino" w:cs="LucidaBright"/>
      <w:b/>
      <w:bCs/>
      <w:color w:val="000000"/>
      <w:sz w:val="20"/>
      <w:szCs w:val="20"/>
    </w:rPr>
  </w:style>
  <w:style w:type="character" w:customStyle="1" w:styleId="Heading1Char">
    <w:name w:val="Heading 1 Char"/>
    <w:basedOn w:val="DefaultParagraphFont"/>
    <w:link w:val="Heading1"/>
    <w:uiPriority w:val="9"/>
    <w:rsid w:val="00A12FB7"/>
    <w:rPr>
      <w:rFonts w:ascii="Palatino Linotype" w:eastAsia="MS Mincho" w:hAnsi="Palatino Linotype" w:cs="Times New Roman"/>
      <w:b/>
      <w:bCs/>
      <w:color w:val="000000"/>
      <w:sz w:val="30"/>
      <w:szCs w:val="30"/>
    </w:rPr>
  </w:style>
  <w:style w:type="paragraph" w:styleId="FootnoteText">
    <w:name w:val="footnote text"/>
    <w:basedOn w:val="Normal"/>
    <w:link w:val="FootnoteTextChar"/>
    <w:uiPriority w:val="99"/>
    <w:unhideWhenUsed/>
    <w:rsid w:val="003562C3"/>
    <w:pPr>
      <w:autoSpaceDE w:val="0"/>
      <w:autoSpaceDN w:val="0"/>
      <w:adjustRightInd w:val="0"/>
    </w:pPr>
    <w:rPr>
      <w:rFonts w:asciiTheme="minorHAnsi" w:eastAsia="MS Mincho" w:hAnsiTheme="minorHAnsi" w:cs="LucidaBright"/>
      <w:bCs/>
      <w:color w:val="000000"/>
      <w:sz w:val="20"/>
      <w:szCs w:val="20"/>
    </w:rPr>
  </w:style>
  <w:style w:type="character" w:customStyle="1" w:styleId="FootnoteTextChar">
    <w:name w:val="Footnote Text Char"/>
    <w:basedOn w:val="DefaultParagraphFont"/>
    <w:link w:val="FootnoteText"/>
    <w:uiPriority w:val="99"/>
    <w:rsid w:val="003562C3"/>
    <w:rPr>
      <w:rFonts w:eastAsia="MS Mincho" w:cs="LucidaBright"/>
      <w:bCs/>
      <w:color w:val="000000"/>
      <w:sz w:val="20"/>
      <w:szCs w:val="20"/>
    </w:rPr>
  </w:style>
  <w:style w:type="character" w:styleId="FootnoteReference">
    <w:name w:val="footnote reference"/>
    <w:basedOn w:val="DefaultParagraphFont"/>
    <w:uiPriority w:val="99"/>
    <w:semiHidden/>
    <w:unhideWhenUsed/>
    <w:rsid w:val="003738F5"/>
    <w:rPr>
      <w:vertAlign w:val="superscript"/>
    </w:rPr>
  </w:style>
  <w:style w:type="table" w:styleId="TableGrid">
    <w:name w:val="Table Grid"/>
    <w:basedOn w:val="TableNormal"/>
    <w:uiPriority w:val="39"/>
    <w:rsid w:val="003569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12FB7"/>
    <w:pPr>
      <w:autoSpaceDE w:val="0"/>
      <w:autoSpaceDN w:val="0"/>
      <w:adjustRightInd w:val="0"/>
      <w:contextualSpacing/>
      <w:jc w:val="center"/>
    </w:pPr>
    <w:rPr>
      <w:rFonts w:asciiTheme="majorHAnsi" w:eastAsiaTheme="majorEastAsia" w:hAnsiTheme="majorHAnsi" w:cstheme="majorBidi"/>
      <w:bCs/>
      <w:spacing w:val="-10"/>
      <w:kern w:val="28"/>
      <w:sz w:val="40"/>
      <w:szCs w:val="40"/>
    </w:rPr>
  </w:style>
  <w:style w:type="character" w:customStyle="1" w:styleId="TitleChar">
    <w:name w:val="Title Char"/>
    <w:basedOn w:val="DefaultParagraphFont"/>
    <w:link w:val="Title"/>
    <w:uiPriority w:val="10"/>
    <w:rsid w:val="00A12FB7"/>
    <w:rPr>
      <w:rFonts w:asciiTheme="majorHAnsi" w:eastAsiaTheme="majorEastAsia" w:hAnsiTheme="majorHAnsi" w:cstheme="majorBidi"/>
      <w:bCs/>
      <w:spacing w:val="-10"/>
      <w:kern w:val="28"/>
      <w:sz w:val="40"/>
      <w:szCs w:val="40"/>
    </w:rPr>
  </w:style>
  <w:style w:type="paragraph" w:styleId="NoSpacing">
    <w:name w:val="No Spacing"/>
    <w:uiPriority w:val="1"/>
    <w:qFormat/>
    <w:rsid w:val="00A12FB7"/>
    <w:pPr>
      <w:spacing w:after="0" w:line="240" w:lineRule="auto"/>
    </w:pPr>
    <w:rPr>
      <w:rFonts w:eastAsiaTheme="minorEastAsia"/>
      <w:lang w:eastAsia="zh-CN"/>
    </w:rPr>
  </w:style>
  <w:style w:type="character" w:customStyle="1" w:styleId="Heading2Char">
    <w:name w:val="Heading 2 Char"/>
    <w:basedOn w:val="DefaultParagraphFont"/>
    <w:link w:val="Heading2"/>
    <w:uiPriority w:val="9"/>
    <w:rsid w:val="00ED5BF5"/>
    <w:rPr>
      <w:rFonts w:ascii="Palatino" w:eastAsia="MS Mincho" w:hAnsi="Palatino" w:cs="LucidaBright"/>
      <w:bCs/>
      <w:color w:val="000000"/>
      <w:sz w:val="24"/>
      <w:szCs w:val="24"/>
      <w:u w:val="single"/>
    </w:rPr>
  </w:style>
  <w:style w:type="character" w:customStyle="1" w:styleId="Instructions">
    <w:name w:val="Instructions"/>
    <w:basedOn w:val="DefaultParagraphFont"/>
    <w:uiPriority w:val="1"/>
    <w:qFormat/>
    <w:rsid w:val="00DD34B9"/>
    <w:rPr>
      <w:b/>
      <w:bCs/>
      <w:i/>
      <w:caps w:val="0"/>
      <w:smallCaps w:val="0"/>
      <w:color w:val="5B9BD5" w:themeColor="accent1"/>
    </w:rPr>
  </w:style>
  <w:style w:type="paragraph" w:styleId="BodyText">
    <w:name w:val="Body Text"/>
    <w:basedOn w:val="Normal"/>
    <w:link w:val="BodyTextChar"/>
    <w:uiPriority w:val="99"/>
    <w:semiHidden/>
    <w:unhideWhenUsed/>
    <w:rsid w:val="00103400"/>
    <w:pPr>
      <w:spacing w:after="120"/>
    </w:pPr>
  </w:style>
  <w:style w:type="character" w:customStyle="1" w:styleId="BodyTextChar">
    <w:name w:val="Body Text Char"/>
    <w:basedOn w:val="DefaultParagraphFont"/>
    <w:link w:val="BodyText"/>
    <w:uiPriority w:val="99"/>
    <w:semiHidden/>
    <w:rsid w:val="00103400"/>
    <w:rPr>
      <w:rFonts w:ascii="Times New Roman" w:eastAsia="Times New Roman" w:hAnsi="Times New Roman" w:cs="Times New Roman"/>
      <w:sz w:val="24"/>
      <w:szCs w:val="24"/>
    </w:rPr>
  </w:style>
  <w:style w:type="paragraph" w:styleId="Revision">
    <w:name w:val="Revision"/>
    <w:hidden/>
    <w:uiPriority w:val="99"/>
    <w:semiHidden/>
    <w:rsid w:val="00103400"/>
    <w:pPr>
      <w:spacing w:after="0"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455A34"/>
    <w:pPr>
      <w:spacing w:after="200"/>
    </w:pPr>
    <w:rPr>
      <w:i/>
      <w:iCs/>
      <w:color w:val="44546A" w:themeColor="text2"/>
      <w:sz w:val="18"/>
      <w:szCs w:val="18"/>
    </w:rPr>
  </w:style>
  <w:style w:type="character" w:styleId="UnresolvedMention">
    <w:name w:val="Unresolved Mention"/>
    <w:basedOn w:val="DefaultParagraphFont"/>
    <w:uiPriority w:val="99"/>
    <w:semiHidden/>
    <w:unhideWhenUsed/>
    <w:rsid w:val="00C03642"/>
    <w:rPr>
      <w:color w:val="605E5C"/>
      <w:shd w:val="clear" w:color="auto" w:fill="E1DFDD"/>
    </w:rPr>
  </w:style>
  <w:style w:type="character" w:styleId="PageNumber">
    <w:name w:val="page number"/>
    <w:basedOn w:val="DefaultParagraphFont"/>
    <w:uiPriority w:val="99"/>
    <w:semiHidden/>
    <w:unhideWhenUsed/>
    <w:rsid w:val="00066ED2"/>
  </w:style>
  <w:style w:type="character" w:styleId="FollowedHyperlink">
    <w:name w:val="FollowedHyperlink"/>
    <w:basedOn w:val="DefaultParagraphFont"/>
    <w:uiPriority w:val="99"/>
    <w:semiHidden/>
    <w:unhideWhenUsed/>
    <w:rsid w:val="00664DDE"/>
    <w:rPr>
      <w:color w:val="954F72" w:themeColor="followedHyperlink"/>
      <w:u w:val="single"/>
    </w:rPr>
  </w:style>
  <w:style w:type="character" w:customStyle="1" w:styleId="normaltextrun">
    <w:name w:val="normaltextrun"/>
    <w:basedOn w:val="DefaultParagraphFont"/>
    <w:rsid w:val="001D3444"/>
  </w:style>
  <w:style w:type="character" w:customStyle="1" w:styleId="eop">
    <w:name w:val="eop"/>
    <w:basedOn w:val="DefaultParagraphFont"/>
    <w:rsid w:val="001D3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077711">
      <w:bodyDiv w:val="1"/>
      <w:marLeft w:val="0"/>
      <w:marRight w:val="0"/>
      <w:marTop w:val="0"/>
      <w:marBottom w:val="0"/>
      <w:divBdr>
        <w:top w:val="none" w:sz="0" w:space="0" w:color="auto"/>
        <w:left w:val="none" w:sz="0" w:space="0" w:color="auto"/>
        <w:bottom w:val="none" w:sz="0" w:space="0" w:color="auto"/>
        <w:right w:val="none" w:sz="0" w:space="0" w:color="auto"/>
      </w:divBdr>
    </w:div>
    <w:div w:id="110100743">
      <w:bodyDiv w:val="1"/>
      <w:marLeft w:val="0"/>
      <w:marRight w:val="0"/>
      <w:marTop w:val="0"/>
      <w:marBottom w:val="0"/>
      <w:divBdr>
        <w:top w:val="none" w:sz="0" w:space="0" w:color="auto"/>
        <w:left w:val="none" w:sz="0" w:space="0" w:color="auto"/>
        <w:bottom w:val="none" w:sz="0" w:space="0" w:color="auto"/>
        <w:right w:val="none" w:sz="0" w:space="0" w:color="auto"/>
      </w:divBdr>
    </w:div>
    <w:div w:id="135412527">
      <w:bodyDiv w:val="1"/>
      <w:marLeft w:val="0"/>
      <w:marRight w:val="0"/>
      <w:marTop w:val="0"/>
      <w:marBottom w:val="0"/>
      <w:divBdr>
        <w:top w:val="none" w:sz="0" w:space="0" w:color="auto"/>
        <w:left w:val="none" w:sz="0" w:space="0" w:color="auto"/>
        <w:bottom w:val="none" w:sz="0" w:space="0" w:color="auto"/>
        <w:right w:val="none" w:sz="0" w:space="0" w:color="auto"/>
      </w:divBdr>
    </w:div>
    <w:div w:id="172771638">
      <w:bodyDiv w:val="1"/>
      <w:marLeft w:val="0"/>
      <w:marRight w:val="0"/>
      <w:marTop w:val="0"/>
      <w:marBottom w:val="0"/>
      <w:divBdr>
        <w:top w:val="none" w:sz="0" w:space="0" w:color="auto"/>
        <w:left w:val="none" w:sz="0" w:space="0" w:color="auto"/>
        <w:bottom w:val="none" w:sz="0" w:space="0" w:color="auto"/>
        <w:right w:val="none" w:sz="0" w:space="0" w:color="auto"/>
      </w:divBdr>
    </w:div>
    <w:div w:id="227155620">
      <w:bodyDiv w:val="1"/>
      <w:marLeft w:val="0"/>
      <w:marRight w:val="0"/>
      <w:marTop w:val="0"/>
      <w:marBottom w:val="0"/>
      <w:divBdr>
        <w:top w:val="none" w:sz="0" w:space="0" w:color="auto"/>
        <w:left w:val="none" w:sz="0" w:space="0" w:color="auto"/>
        <w:bottom w:val="none" w:sz="0" w:space="0" w:color="auto"/>
        <w:right w:val="none" w:sz="0" w:space="0" w:color="auto"/>
      </w:divBdr>
    </w:div>
    <w:div w:id="274338115">
      <w:bodyDiv w:val="1"/>
      <w:marLeft w:val="0"/>
      <w:marRight w:val="0"/>
      <w:marTop w:val="0"/>
      <w:marBottom w:val="0"/>
      <w:divBdr>
        <w:top w:val="none" w:sz="0" w:space="0" w:color="auto"/>
        <w:left w:val="none" w:sz="0" w:space="0" w:color="auto"/>
        <w:bottom w:val="none" w:sz="0" w:space="0" w:color="auto"/>
        <w:right w:val="none" w:sz="0" w:space="0" w:color="auto"/>
      </w:divBdr>
    </w:div>
    <w:div w:id="308100760">
      <w:bodyDiv w:val="1"/>
      <w:marLeft w:val="0"/>
      <w:marRight w:val="0"/>
      <w:marTop w:val="0"/>
      <w:marBottom w:val="0"/>
      <w:divBdr>
        <w:top w:val="none" w:sz="0" w:space="0" w:color="auto"/>
        <w:left w:val="none" w:sz="0" w:space="0" w:color="auto"/>
        <w:bottom w:val="none" w:sz="0" w:space="0" w:color="auto"/>
        <w:right w:val="none" w:sz="0" w:space="0" w:color="auto"/>
      </w:divBdr>
    </w:div>
    <w:div w:id="331761701">
      <w:bodyDiv w:val="1"/>
      <w:marLeft w:val="0"/>
      <w:marRight w:val="0"/>
      <w:marTop w:val="0"/>
      <w:marBottom w:val="0"/>
      <w:divBdr>
        <w:top w:val="none" w:sz="0" w:space="0" w:color="auto"/>
        <w:left w:val="none" w:sz="0" w:space="0" w:color="auto"/>
        <w:bottom w:val="none" w:sz="0" w:space="0" w:color="auto"/>
        <w:right w:val="none" w:sz="0" w:space="0" w:color="auto"/>
      </w:divBdr>
    </w:div>
    <w:div w:id="360783657">
      <w:bodyDiv w:val="1"/>
      <w:marLeft w:val="0"/>
      <w:marRight w:val="0"/>
      <w:marTop w:val="0"/>
      <w:marBottom w:val="0"/>
      <w:divBdr>
        <w:top w:val="none" w:sz="0" w:space="0" w:color="auto"/>
        <w:left w:val="none" w:sz="0" w:space="0" w:color="auto"/>
        <w:bottom w:val="none" w:sz="0" w:space="0" w:color="auto"/>
        <w:right w:val="none" w:sz="0" w:space="0" w:color="auto"/>
      </w:divBdr>
    </w:div>
    <w:div w:id="456408782">
      <w:bodyDiv w:val="1"/>
      <w:marLeft w:val="0"/>
      <w:marRight w:val="0"/>
      <w:marTop w:val="0"/>
      <w:marBottom w:val="0"/>
      <w:divBdr>
        <w:top w:val="none" w:sz="0" w:space="0" w:color="auto"/>
        <w:left w:val="none" w:sz="0" w:space="0" w:color="auto"/>
        <w:bottom w:val="none" w:sz="0" w:space="0" w:color="auto"/>
        <w:right w:val="none" w:sz="0" w:space="0" w:color="auto"/>
      </w:divBdr>
    </w:div>
    <w:div w:id="465395540">
      <w:bodyDiv w:val="1"/>
      <w:marLeft w:val="0"/>
      <w:marRight w:val="0"/>
      <w:marTop w:val="0"/>
      <w:marBottom w:val="0"/>
      <w:divBdr>
        <w:top w:val="none" w:sz="0" w:space="0" w:color="auto"/>
        <w:left w:val="none" w:sz="0" w:space="0" w:color="auto"/>
        <w:bottom w:val="none" w:sz="0" w:space="0" w:color="auto"/>
        <w:right w:val="none" w:sz="0" w:space="0" w:color="auto"/>
      </w:divBdr>
    </w:div>
    <w:div w:id="483275211">
      <w:bodyDiv w:val="1"/>
      <w:marLeft w:val="0"/>
      <w:marRight w:val="0"/>
      <w:marTop w:val="0"/>
      <w:marBottom w:val="0"/>
      <w:divBdr>
        <w:top w:val="none" w:sz="0" w:space="0" w:color="auto"/>
        <w:left w:val="none" w:sz="0" w:space="0" w:color="auto"/>
        <w:bottom w:val="none" w:sz="0" w:space="0" w:color="auto"/>
        <w:right w:val="none" w:sz="0" w:space="0" w:color="auto"/>
      </w:divBdr>
    </w:div>
    <w:div w:id="521554486">
      <w:bodyDiv w:val="1"/>
      <w:marLeft w:val="0"/>
      <w:marRight w:val="0"/>
      <w:marTop w:val="0"/>
      <w:marBottom w:val="0"/>
      <w:divBdr>
        <w:top w:val="none" w:sz="0" w:space="0" w:color="auto"/>
        <w:left w:val="none" w:sz="0" w:space="0" w:color="auto"/>
        <w:bottom w:val="none" w:sz="0" w:space="0" w:color="auto"/>
        <w:right w:val="none" w:sz="0" w:space="0" w:color="auto"/>
      </w:divBdr>
    </w:div>
    <w:div w:id="547693188">
      <w:bodyDiv w:val="1"/>
      <w:marLeft w:val="0"/>
      <w:marRight w:val="0"/>
      <w:marTop w:val="0"/>
      <w:marBottom w:val="0"/>
      <w:divBdr>
        <w:top w:val="none" w:sz="0" w:space="0" w:color="auto"/>
        <w:left w:val="none" w:sz="0" w:space="0" w:color="auto"/>
        <w:bottom w:val="none" w:sz="0" w:space="0" w:color="auto"/>
        <w:right w:val="none" w:sz="0" w:space="0" w:color="auto"/>
      </w:divBdr>
    </w:div>
    <w:div w:id="619918608">
      <w:bodyDiv w:val="1"/>
      <w:marLeft w:val="0"/>
      <w:marRight w:val="0"/>
      <w:marTop w:val="0"/>
      <w:marBottom w:val="0"/>
      <w:divBdr>
        <w:top w:val="none" w:sz="0" w:space="0" w:color="auto"/>
        <w:left w:val="none" w:sz="0" w:space="0" w:color="auto"/>
        <w:bottom w:val="none" w:sz="0" w:space="0" w:color="auto"/>
        <w:right w:val="none" w:sz="0" w:space="0" w:color="auto"/>
      </w:divBdr>
    </w:div>
    <w:div w:id="661468029">
      <w:bodyDiv w:val="1"/>
      <w:marLeft w:val="0"/>
      <w:marRight w:val="0"/>
      <w:marTop w:val="0"/>
      <w:marBottom w:val="0"/>
      <w:divBdr>
        <w:top w:val="none" w:sz="0" w:space="0" w:color="auto"/>
        <w:left w:val="none" w:sz="0" w:space="0" w:color="auto"/>
        <w:bottom w:val="none" w:sz="0" w:space="0" w:color="auto"/>
        <w:right w:val="none" w:sz="0" w:space="0" w:color="auto"/>
      </w:divBdr>
    </w:div>
    <w:div w:id="702167919">
      <w:bodyDiv w:val="1"/>
      <w:marLeft w:val="0"/>
      <w:marRight w:val="0"/>
      <w:marTop w:val="0"/>
      <w:marBottom w:val="0"/>
      <w:divBdr>
        <w:top w:val="none" w:sz="0" w:space="0" w:color="auto"/>
        <w:left w:val="none" w:sz="0" w:space="0" w:color="auto"/>
        <w:bottom w:val="none" w:sz="0" w:space="0" w:color="auto"/>
        <w:right w:val="none" w:sz="0" w:space="0" w:color="auto"/>
      </w:divBdr>
    </w:div>
    <w:div w:id="731318825">
      <w:bodyDiv w:val="1"/>
      <w:marLeft w:val="0"/>
      <w:marRight w:val="0"/>
      <w:marTop w:val="0"/>
      <w:marBottom w:val="0"/>
      <w:divBdr>
        <w:top w:val="none" w:sz="0" w:space="0" w:color="auto"/>
        <w:left w:val="none" w:sz="0" w:space="0" w:color="auto"/>
        <w:bottom w:val="none" w:sz="0" w:space="0" w:color="auto"/>
        <w:right w:val="none" w:sz="0" w:space="0" w:color="auto"/>
      </w:divBdr>
    </w:div>
    <w:div w:id="768740619">
      <w:bodyDiv w:val="1"/>
      <w:marLeft w:val="0"/>
      <w:marRight w:val="0"/>
      <w:marTop w:val="0"/>
      <w:marBottom w:val="0"/>
      <w:divBdr>
        <w:top w:val="none" w:sz="0" w:space="0" w:color="auto"/>
        <w:left w:val="none" w:sz="0" w:space="0" w:color="auto"/>
        <w:bottom w:val="none" w:sz="0" w:space="0" w:color="auto"/>
        <w:right w:val="none" w:sz="0" w:space="0" w:color="auto"/>
      </w:divBdr>
    </w:div>
    <w:div w:id="808936010">
      <w:bodyDiv w:val="1"/>
      <w:marLeft w:val="0"/>
      <w:marRight w:val="0"/>
      <w:marTop w:val="0"/>
      <w:marBottom w:val="0"/>
      <w:divBdr>
        <w:top w:val="none" w:sz="0" w:space="0" w:color="auto"/>
        <w:left w:val="none" w:sz="0" w:space="0" w:color="auto"/>
        <w:bottom w:val="none" w:sz="0" w:space="0" w:color="auto"/>
        <w:right w:val="none" w:sz="0" w:space="0" w:color="auto"/>
      </w:divBdr>
    </w:div>
    <w:div w:id="827866663">
      <w:bodyDiv w:val="1"/>
      <w:marLeft w:val="0"/>
      <w:marRight w:val="0"/>
      <w:marTop w:val="0"/>
      <w:marBottom w:val="0"/>
      <w:divBdr>
        <w:top w:val="none" w:sz="0" w:space="0" w:color="auto"/>
        <w:left w:val="none" w:sz="0" w:space="0" w:color="auto"/>
        <w:bottom w:val="none" w:sz="0" w:space="0" w:color="auto"/>
        <w:right w:val="none" w:sz="0" w:space="0" w:color="auto"/>
      </w:divBdr>
    </w:div>
    <w:div w:id="841549453">
      <w:bodyDiv w:val="1"/>
      <w:marLeft w:val="0"/>
      <w:marRight w:val="0"/>
      <w:marTop w:val="0"/>
      <w:marBottom w:val="0"/>
      <w:divBdr>
        <w:top w:val="none" w:sz="0" w:space="0" w:color="auto"/>
        <w:left w:val="none" w:sz="0" w:space="0" w:color="auto"/>
        <w:bottom w:val="none" w:sz="0" w:space="0" w:color="auto"/>
        <w:right w:val="none" w:sz="0" w:space="0" w:color="auto"/>
      </w:divBdr>
    </w:div>
    <w:div w:id="878203616">
      <w:bodyDiv w:val="1"/>
      <w:marLeft w:val="0"/>
      <w:marRight w:val="0"/>
      <w:marTop w:val="0"/>
      <w:marBottom w:val="0"/>
      <w:divBdr>
        <w:top w:val="none" w:sz="0" w:space="0" w:color="auto"/>
        <w:left w:val="none" w:sz="0" w:space="0" w:color="auto"/>
        <w:bottom w:val="none" w:sz="0" w:space="0" w:color="auto"/>
        <w:right w:val="none" w:sz="0" w:space="0" w:color="auto"/>
      </w:divBdr>
    </w:div>
    <w:div w:id="925697396">
      <w:bodyDiv w:val="1"/>
      <w:marLeft w:val="0"/>
      <w:marRight w:val="0"/>
      <w:marTop w:val="0"/>
      <w:marBottom w:val="0"/>
      <w:divBdr>
        <w:top w:val="none" w:sz="0" w:space="0" w:color="auto"/>
        <w:left w:val="none" w:sz="0" w:space="0" w:color="auto"/>
        <w:bottom w:val="none" w:sz="0" w:space="0" w:color="auto"/>
        <w:right w:val="none" w:sz="0" w:space="0" w:color="auto"/>
      </w:divBdr>
    </w:div>
    <w:div w:id="968822160">
      <w:bodyDiv w:val="1"/>
      <w:marLeft w:val="0"/>
      <w:marRight w:val="0"/>
      <w:marTop w:val="0"/>
      <w:marBottom w:val="0"/>
      <w:divBdr>
        <w:top w:val="none" w:sz="0" w:space="0" w:color="auto"/>
        <w:left w:val="none" w:sz="0" w:space="0" w:color="auto"/>
        <w:bottom w:val="none" w:sz="0" w:space="0" w:color="auto"/>
        <w:right w:val="none" w:sz="0" w:space="0" w:color="auto"/>
      </w:divBdr>
    </w:div>
    <w:div w:id="977687545">
      <w:bodyDiv w:val="1"/>
      <w:marLeft w:val="0"/>
      <w:marRight w:val="0"/>
      <w:marTop w:val="0"/>
      <w:marBottom w:val="0"/>
      <w:divBdr>
        <w:top w:val="none" w:sz="0" w:space="0" w:color="auto"/>
        <w:left w:val="none" w:sz="0" w:space="0" w:color="auto"/>
        <w:bottom w:val="none" w:sz="0" w:space="0" w:color="auto"/>
        <w:right w:val="none" w:sz="0" w:space="0" w:color="auto"/>
      </w:divBdr>
    </w:div>
    <w:div w:id="1087849096">
      <w:bodyDiv w:val="1"/>
      <w:marLeft w:val="0"/>
      <w:marRight w:val="0"/>
      <w:marTop w:val="0"/>
      <w:marBottom w:val="0"/>
      <w:divBdr>
        <w:top w:val="none" w:sz="0" w:space="0" w:color="auto"/>
        <w:left w:val="none" w:sz="0" w:space="0" w:color="auto"/>
        <w:bottom w:val="none" w:sz="0" w:space="0" w:color="auto"/>
        <w:right w:val="none" w:sz="0" w:space="0" w:color="auto"/>
      </w:divBdr>
    </w:div>
    <w:div w:id="1100487160">
      <w:bodyDiv w:val="1"/>
      <w:marLeft w:val="0"/>
      <w:marRight w:val="0"/>
      <w:marTop w:val="0"/>
      <w:marBottom w:val="0"/>
      <w:divBdr>
        <w:top w:val="none" w:sz="0" w:space="0" w:color="auto"/>
        <w:left w:val="none" w:sz="0" w:space="0" w:color="auto"/>
        <w:bottom w:val="none" w:sz="0" w:space="0" w:color="auto"/>
        <w:right w:val="none" w:sz="0" w:space="0" w:color="auto"/>
      </w:divBdr>
    </w:div>
    <w:div w:id="1130168525">
      <w:bodyDiv w:val="1"/>
      <w:marLeft w:val="0"/>
      <w:marRight w:val="0"/>
      <w:marTop w:val="0"/>
      <w:marBottom w:val="0"/>
      <w:divBdr>
        <w:top w:val="none" w:sz="0" w:space="0" w:color="auto"/>
        <w:left w:val="none" w:sz="0" w:space="0" w:color="auto"/>
        <w:bottom w:val="none" w:sz="0" w:space="0" w:color="auto"/>
        <w:right w:val="none" w:sz="0" w:space="0" w:color="auto"/>
      </w:divBdr>
    </w:div>
    <w:div w:id="1173954853">
      <w:bodyDiv w:val="1"/>
      <w:marLeft w:val="0"/>
      <w:marRight w:val="0"/>
      <w:marTop w:val="0"/>
      <w:marBottom w:val="0"/>
      <w:divBdr>
        <w:top w:val="none" w:sz="0" w:space="0" w:color="auto"/>
        <w:left w:val="none" w:sz="0" w:space="0" w:color="auto"/>
        <w:bottom w:val="none" w:sz="0" w:space="0" w:color="auto"/>
        <w:right w:val="none" w:sz="0" w:space="0" w:color="auto"/>
      </w:divBdr>
    </w:div>
    <w:div w:id="1218202667">
      <w:bodyDiv w:val="1"/>
      <w:marLeft w:val="0"/>
      <w:marRight w:val="0"/>
      <w:marTop w:val="0"/>
      <w:marBottom w:val="0"/>
      <w:divBdr>
        <w:top w:val="none" w:sz="0" w:space="0" w:color="auto"/>
        <w:left w:val="none" w:sz="0" w:space="0" w:color="auto"/>
        <w:bottom w:val="none" w:sz="0" w:space="0" w:color="auto"/>
        <w:right w:val="none" w:sz="0" w:space="0" w:color="auto"/>
      </w:divBdr>
    </w:div>
    <w:div w:id="1265990092">
      <w:bodyDiv w:val="1"/>
      <w:marLeft w:val="0"/>
      <w:marRight w:val="0"/>
      <w:marTop w:val="0"/>
      <w:marBottom w:val="0"/>
      <w:divBdr>
        <w:top w:val="none" w:sz="0" w:space="0" w:color="auto"/>
        <w:left w:val="none" w:sz="0" w:space="0" w:color="auto"/>
        <w:bottom w:val="none" w:sz="0" w:space="0" w:color="auto"/>
        <w:right w:val="none" w:sz="0" w:space="0" w:color="auto"/>
      </w:divBdr>
    </w:div>
    <w:div w:id="1275677202">
      <w:bodyDiv w:val="1"/>
      <w:marLeft w:val="0"/>
      <w:marRight w:val="0"/>
      <w:marTop w:val="0"/>
      <w:marBottom w:val="0"/>
      <w:divBdr>
        <w:top w:val="none" w:sz="0" w:space="0" w:color="auto"/>
        <w:left w:val="none" w:sz="0" w:space="0" w:color="auto"/>
        <w:bottom w:val="none" w:sz="0" w:space="0" w:color="auto"/>
        <w:right w:val="none" w:sz="0" w:space="0" w:color="auto"/>
      </w:divBdr>
    </w:div>
    <w:div w:id="1357535922">
      <w:bodyDiv w:val="1"/>
      <w:marLeft w:val="0"/>
      <w:marRight w:val="0"/>
      <w:marTop w:val="0"/>
      <w:marBottom w:val="0"/>
      <w:divBdr>
        <w:top w:val="none" w:sz="0" w:space="0" w:color="auto"/>
        <w:left w:val="none" w:sz="0" w:space="0" w:color="auto"/>
        <w:bottom w:val="none" w:sz="0" w:space="0" w:color="auto"/>
        <w:right w:val="none" w:sz="0" w:space="0" w:color="auto"/>
      </w:divBdr>
    </w:div>
    <w:div w:id="1406563614">
      <w:bodyDiv w:val="1"/>
      <w:marLeft w:val="0"/>
      <w:marRight w:val="0"/>
      <w:marTop w:val="0"/>
      <w:marBottom w:val="0"/>
      <w:divBdr>
        <w:top w:val="none" w:sz="0" w:space="0" w:color="auto"/>
        <w:left w:val="none" w:sz="0" w:space="0" w:color="auto"/>
        <w:bottom w:val="none" w:sz="0" w:space="0" w:color="auto"/>
        <w:right w:val="none" w:sz="0" w:space="0" w:color="auto"/>
      </w:divBdr>
    </w:div>
    <w:div w:id="1409769570">
      <w:bodyDiv w:val="1"/>
      <w:marLeft w:val="0"/>
      <w:marRight w:val="0"/>
      <w:marTop w:val="0"/>
      <w:marBottom w:val="0"/>
      <w:divBdr>
        <w:top w:val="none" w:sz="0" w:space="0" w:color="auto"/>
        <w:left w:val="none" w:sz="0" w:space="0" w:color="auto"/>
        <w:bottom w:val="none" w:sz="0" w:space="0" w:color="auto"/>
        <w:right w:val="none" w:sz="0" w:space="0" w:color="auto"/>
      </w:divBdr>
    </w:div>
    <w:div w:id="1461873554">
      <w:bodyDiv w:val="1"/>
      <w:marLeft w:val="0"/>
      <w:marRight w:val="0"/>
      <w:marTop w:val="0"/>
      <w:marBottom w:val="0"/>
      <w:divBdr>
        <w:top w:val="none" w:sz="0" w:space="0" w:color="auto"/>
        <w:left w:val="none" w:sz="0" w:space="0" w:color="auto"/>
        <w:bottom w:val="none" w:sz="0" w:space="0" w:color="auto"/>
        <w:right w:val="none" w:sz="0" w:space="0" w:color="auto"/>
      </w:divBdr>
    </w:div>
    <w:div w:id="1464351739">
      <w:bodyDiv w:val="1"/>
      <w:marLeft w:val="0"/>
      <w:marRight w:val="0"/>
      <w:marTop w:val="0"/>
      <w:marBottom w:val="0"/>
      <w:divBdr>
        <w:top w:val="none" w:sz="0" w:space="0" w:color="auto"/>
        <w:left w:val="none" w:sz="0" w:space="0" w:color="auto"/>
        <w:bottom w:val="none" w:sz="0" w:space="0" w:color="auto"/>
        <w:right w:val="none" w:sz="0" w:space="0" w:color="auto"/>
      </w:divBdr>
    </w:div>
    <w:div w:id="1495141690">
      <w:bodyDiv w:val="1"/>
      <w:marLeft w:val="0"/>
      <w:marRight w:val="0"/>
      <w:marTop w:val="0"/>
      <w:marBottom w:val="0"/>
      <w:divBdr>
        <w:top w:val="none" w:sz="0" w:space="0" w:color="auto"/>
        <w:left w:val="none" w:sz="0" w:space="0" w:color="auto"/>
        <w:bottom w:val="none" w:sz="0" w:space="0" w:color="auto"/>
        <w:right w:val="none" w:sz="0" w:space="0" w:color="auto"/>
      </w:divBdr>
    </w:div>
    <w:div w:id="1513642584">
      <w:bodyDiv w:val="1"/>
      <w:marLeft w:val="0"/>
      <w:marRight w:val="0"/>
      <w:marTop w:val="0"/>
      <w:marBottom w:val="0"/>
      <w:divBdr>
        <w:top w:val="none" w:sz="0" w:space="0" w:color="auto"/>
        <w:left w:val="none" w:sz="0" w:space="0" w:color="auto"/>
        <w:bottom w:val="none" w:sz="0" w:space="0" w:color="auto"/>
        <w:right w:val="none" w:sz="0" w:space="0" w:color="auto"/>
      </w:divBdr>
    </w:div>
    <w:div w:id="1561594051">
      <w:bodyDiv w:val="1"/>
      <w:marLeft w:val="0"/>
      <w:marRight w:val="0"/>
      <w:marTop w:val="0"/>
      <w:marBottom w:val="0"/>
      <w:divBdr>
        <w:top w:val="none" w:sz="0" w:space="0" w:color="auto"/>
        <w:left w:val="none" w:sz="0" w:space="0" w:color="auto"/>
        <w:bottom w:val="none" w:sz="0" w:space="0" w:color="auto"/>
        <w:right w:val="none" w:sz="0" w:space="0" w:color="auto"/>
      </w:divBdr>
    </w:div>
    <w:div w:id="1567718619">
      <w:bodyDiv w:val="1"/>
      <w:marLeft w:val="0"/>
      <w:marRight w:val="0"/>
      <w:marTop w:val="0"/>
      <w:marBottom w:val="0"/>
      <w:divBdr>
        <w:top w:val="none" w:sz="0" w:space="0" w:color="auto"/>
        <w:left w:val="none" w:sz="0" w:space="0" w:color="auto"/>
        <w:bottom w:val="none" w:sz="0" w:space="0" w:color="auto"/>
        <w:right w:val="none" w:sz="0" w:space="0" w:color="auto"/>
      </w:divBdr>
    </w:div>
    <w:div w:id="1587884085">
      <w:bodyDiv w:val="1"/>
      <w:marLeft w:val="0"/>
      <w:marRight w:val="0"/>
      <w:marTop w:val="0"/>
      <w:marBottom w:val="0"/>
      <w:divBdr>
        <w:top w:val="none" w:sz="0" w:space="0" w:color="auto"/>
        <w:left w:val="none" w:sz="0" w:space="0" w:color="auto"/>
        <w:bottom w:val="none" w:sz="0" w:space="0" w:color="auto"/>
        <w:right w:val="none" w:sz="0" w:space="0" w:color="auto"/>
      </w:divBdr>
    </w:div>
    <w:div w:id="1589578899">
      <w:bodyDiv w:val="1"/>
      <w:marLeft w:val="0"/>
      <w:marRight w:val="0"/>
      <w:marTop w:val="0"/>
      <w:marBottom w:val="0"/>
      <w:divBdr>
        <w:top w:val="none" w:sz="0" w:space="0" w:color="auto"/>
        <w:left w:val="none" w:sz="0" w:space="0" w:color="auto"/>
        <w:bottom w:val="none" w:sz="0" w:space="0" w:color="auto"/>
        <w:right w:val="none" w:sz="0" w:space="0" w:color="auto"/>
      </w:divBdr>
    </w:div>
    <w:div w:id="1604608797">
      <w:bodyDiv w:val="1"/>
      <w:marLeft w:val="0"/>
      <w:marRight w:val="0"/>
      <w:marTop w:val="0"/>
      <w:marBottom w:val="0"/>
      <w:divBdr>
        <w:top w:val="none" w:sz="0" w:space="0" w:color="auto"/>
        <w:left w:val="none" w:sz="0" w:space="0" w:color="auto"/>
        <w:bottom w:val="none" w:sz="0" w:space="0" w:color="auto"/>
        <w:right w:val="none" w:sz="0" w:space="0" w:color="auto"/>
      </w:divBdr>
    </w:div>
    <w:div w:id="1618486824">
      <w:bodyDiv w:val="1"/>
      <w:marLeft w:val="0"/>
      <w:marRight w:val="0"/>
      <w:marTop w:val="0"/>
      <w:marBottom w:val="0"/>
      <w:divBdr>
        <w:top w:val="none" w:sz="0" w:space="0" w:color="auto"/>
        <w:left w:val="none" w:sz="0" w:space="0" w:color="auto"/>
        <w:bottom w:val="none" w:sz="0" w:space="0" w:color="auto"/>
        <w:right w:val="none" w:sz="0" w:space="0" w:color="auto"/>
      </w:divBdr>
    </w:div>
    <w:div w:id="1645428419">
      <w:bodyDiv w:val="1"/>
      <w:marLeft w:val="0"/>
      <w:marRight w:val="0"/>
      <w:marTop w:val="0"/>
      <w:marBottom w:val="0"/>
      <w:divBdr>
        <w:top w:val="none" w:sz="0" w:space="0" w:color="auto"/>
        <w:left w:val="none" w:sz="0" w:space="0" w:color="auto"/>
        <w:bottom w:val="none" w:sz="0" w:space="0" w:color="auto"/>
        <w:right w:val="none" w:sz="0" w:space="0" w:color="auto"/>
      </w:divBdr>
    </w:div>
    <w:div w:id="1715346960">
      <w:bodyDiv w:val="1"/>
      <w:marLeft w:val="0"/>
      <w:marRight w:val="0"/>
      <w:marTop w:val="0"/>
      <w:marBottom w:val="0"/>
      <w:divBdr>
        <w:top w:val="none" w:sz="0" w:space="0" w:color="auto"/>
        <w:left w:val="none" w:sz="0" w:space="0" w:color="auto"/>
        <w:bottom w:val="none" w:sz="0" w:space="0" w:color="auto"/>
        <w:right w:val="none" w:sz="0" w:space="0" w:color="auto"/>
      </w:divBdr>
    </w:div>
    <w:div w:id="1786197335">
      <w:bodyDiv w:val="1"/>
      <w:marLeft w:val="0"/>
      <w:marRight w:val="0"/>
      <w:marTop w:val="0"/>
      <w:marBottom w:val="0"/>
      <w:divBdr>
        <w:top w:val="none" w:sz="0" w:space="0" w:color="auto"/>
        <w:left w:val="none" w:sz="0" w:space="0" w:color="auto"/>
        <w:bottom w:val="none" w:sz="0" w:space="0" w:color="auto"/>
        <w:right w:val="none" w:sz="0" w:space="0" w:color="auto"/>
      </w:divBdr>
    </w:div>
    <w:div w:id="1789928070">
      <w:bodyDiv w:val="1"/>
      <w:marLeft w:val="0"/>
      <w:marRight w:val="0"/>
      <w:marTop w:val="0"/>
      <w:marBottom w:val="0"/>
      <w:divBdr>
        <w:top w:val="none" w:sz="0" w:space="0" w:color="auto"/>
        <w:left w:val="none" w:sz="0" w:space="0" w:color="auto"/>
        <w:bottom w:val="none" w:sz="0" w:space="0" w:color="auto"/>
        <w:right w:val="none" w:sz="0" w:space="0" w:color="auto"/>
      </w:divBdr>
    </w:div>
    <w:div w:id="1823933336">
      <w:bodyDiv w:val="1"/>
      <w:marLeft w:val="0"/>
      <w:marRight w:val="0"/>
      <w:marTop w:val="0"/>
      <w:marBottom w:val="0"/>
      <w:divBdr>
        <w:top w:val="none" w:sz="0" w:space="0" w:color="auto"/>
        <w:left w:val="none" w:sz="0" w:space="0" w:color="auto"/>
        <w:bottom w:val="none" w:sz="0" w:space="0" w:color="auto"/>
        <w:right w:val="none" w:sz="0" w:space="0" w:color="auto"/>
      </w:divBdr>
    </w:div>
    <w:div w:id="1853450271">
      <w:bodyDiv w:val="1"/>
      <w:marLeft w:val="0"/>
      <w:marRight w:val="0"/>
      <w:marTop w:val="0"/>
      <w:marBottom w:val="0"/>
      <w:divBdr>
        <w:top w:val="none" w:sz="0" w:space="0" w:color="auto"/>
        <w:left w:val="none" w:sz="0" w:space="0" w:color="auto"/>
        <w:bottom w:val="none" w:sz="0" w:space="0" w:color="auto"/>
        <w:right w:val="none" w:sz="0" w:space="0" w:color="auto"/>
      </w:divBdr>
    </w:div>
    <w:div w:id="1895116765">
      <w:bodyDiv w:val="1"/>
      <w:marLeft w:val="0"/>
      <w:marRight w:val="0"/>
      <w:marTop w:val="0"/>
      <w:marBottom w:val="0"/>
      <w:divBdr>
        <w:top w:val="none" w:sz="0" w:space="0" w:color="auto"/>
        <w:left w:val="none" w:sz="0" w:space="0" w:color="auto"/>
        <w:bottom w:val="none" w:sz="0" w:space="0" w:color="auto"/>
        <w:right w:val="none" w:sz="0" w:space="0" w:color="auto"/>
      </w:divBdr>
    </w:div>
    <w:div w:id="1917592273">
      <w:bodyDiv w:val="1"/>
      <w:marLeft w:val="0"/>
      <w:marRight w:val="0"/>
      <w:marTop w:val="0"/>
      <w:marBottom w:val="0"/>
      <w:divBdr>
        <w:top w:val="none" w:sz="0" w:space="0" w:color="auto"/>
        <w:left w:val="none" w:sz="0" w:space="0" w:color="auto"/>
        <w:bottom w:val="none" w:sz="0" w:space="0" w:color="auto"/>
        <w:right w:val="none" w:sz="0" w:space="0" w:color="auto"/>
      </w:divBdr>
    </w:div>
    <w:div w:id="1918978980">
      <w:bodyDiv w:val="1"/>
      <w:marLeft w:val="0"/>
      <w:marRight w:val="0"/>
      <w:marTop w:val="0"/>
      <w:marBottom w:val="0"/>
      <w:divBdr>
        <w:top w:val="none" w:sz="0" w:space="0" w:color="auto"/>
        <w:left w:val="none" w:sz="0" w:space="0" w:color="auto"/>
        <w:bottom w:val="none" w:sz="0" w:space="0" w:color="auto"/>
        <w:right w:val="none" w:sz="0" w:space="0" w:color="auto"/>
      </w:divBdr>
    </w:div>
    <w:div w:id="1994989169">
      <w:bodyDiv w:val="1"/>
      <w:marLeft w:val="0"/>
      <w:marRight w:val="0"/>
      <w:marTop w:val="0"/>
      <w:marBottom w:val="0"/>
      <w:divBdr>
        <w:top w:val="none" w:sz="0" w:space="0" w:color="auto"/>
        <w:left w:val="none" w:sz="0" w:space="0" w:color="auto"/>
        <w:bottom w:val="none" w:sz="0" w:space="0" w:color="auto"/>
        <w:right w:val="none" w:sz="0" w:space="0" w:color="auto"/>
      </w:divBdr>
    </w:div>
    <w:div w:id="1997024488">
      <w:bodyDiv w:val="1"/>
      <w:marLeft w:val="0"/>
      <w:marRight w:val="0"/>
      <w:marTop w:val="0"/>
      <w:marBottom w:val="0"/>
      <w:divBdr>
        <w:top w:val="none" w:sz="0" w:space="0" w:color="auto"/>
        <w:left w:val="none" w:sz="0" w:space="0" w:color="auto"/>
        <w:bottom w:val="none" w:sz="0" w:space="0" w:color="auto"/>
        <w:right w:val="none" w:sz="0" w:space="0" w:color="auto"/>
      </w:divBdr>
    </w:div>
    <w:div w:id="2062242387">
      <w:bodyDiv w:val="1"/>
      <w:marLeft w:val="0"/>
      <w:marRight w:val="0"/>
      <w:marTop w:val="0"/>
      <w:marBottom w:val="0"/>
      <w:divBdr>
        <w:top w:val="none" w:sz="0" w:space="0" w:color="auto"/>
        <w:left w:val="none" w:sz="0" w:space="0" w:color="auto"/>
        <w:bottom w:val="none" w:sz="0" w:space="0" w:color="auto"/>
        <w:right w:val="none" w:sz="0" w:space="0" w:color="auto"/>
      </w:divBdr>
    </w:div>
    <w:div w:id="2116704501">
      <w:bodyDiv w:val="1"/>
      <w:marLeft w:val="0"/>
      <w:marRight w:val="0"/>
      <w:marTop w:val="0"/>
      <w:marBottom w:val="0"/>
      <w:divBdr>
        <w:top w:val="none" w:sz="0" w:space="0" w:color="auto"/>
        <w:left w:val="none" w:sz="0" w:space="0" w:color="auto"/>
        <w:bottom w:val="none" w:sz="0" w:space="0" w:color="auto"/>
        <w:right w:val="none" w:sz="0" w:space="0" w:color="auto"/>
      </w:divBdr>
    </w:div>
    <w:div w:id="2120365707">
      <w:bodyDiv w:val="1"/>
      <w:marLeft w:val="0"/>
      <w:marRight w:val="0"/>
      <w:marTop w:val="0"/>
      <w:marBottom w:val="0"/>
      <w:divBdr>
        <w:top w:val="none" w:sz="0" w:space="0" w:color="auto"/>
        <w:left w:val="none" w:sz="0" w:space="0" w:color="auto"/>
        <w:bottom w:val="none" w:sz="0" w:space="0" w:color="auto"/>
        <w:right w:val="none" w:sz="0" w:space="0" w:color="auto"/>
      </w:divBdr>
    </w:div>
    <w:div w:id="2121677309">
      <w:bodyDiv w:val="1"/>
      <w:marLeft w:val="0"/>
      <w:marRight w:val="0"/>
      <w:marTop w:val="0"/>
      <w:marBottom w:val="0"/>
      <w:divBdr>
        <w:top w:val="none" w:sz="0" w:space="0" w:color="auto"/>
        <w:left w:val="none" w:sz="0" w:space="0" w:color="auto"/>
        <w:bottom w:val="none" w:sz="0" w:space="0" w:color="auto"/>
        <w:right w:val="none" w:sz="0" w:space="0" w:color="auto"/>
      </w:divBdr>
    </w:div>
    <w:div w:id="2123844529">
      <w:bodyDiv w:val="1"/>
      <w:marLeft w:val="0"/>
      <w:marRight w:val="0"/>
      <w:marTop w:val="0"/>
      <w:marBottom w:val="0"/>
      <w:divBdr>
        <w:top w:val="none" w:sz="0" w:space="0" w:color="auto"/>
        <w:left w:val="none" w:sz="0" w:space="0" w:color="auto"/>
        <w:bottom w:val="none" w:sz="0" w:space="0" w:color="auto"/>
        <w:right w:val="none" w:sz="0" w:space="0" w:color="auto"/>
      </w:divBdr>
    </w:div>
    <w:div w:id="2123956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energycodeace.com/"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chart" Target="charts/chart2.xm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hyperlink" Target="https://localenergycodes.com/content/contact-u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localenergycodes.com/content/resources/?q=2022%20cost-effectiveness%20studie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localenergycodes.com/download/1654/file_path/fieldList/2022%20Model%20Ordinance%20-%20New%20Construction-One%20Margin.doc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s://www.localenergycodes.com/content/resources" TargetMode="External"/><Relationship Id="rId2" Type="http://schemas.openxmlformats.org/officeDocument/2006/relationships/hyperlink" Target="https://www.technologyreview.com/2023/02/14/1068582/everything-you-need-to-know-about-heat-pumps/" TargetMode="External"/><Relationship Id="rId1" Type="http://schemas.openxmlformats.org/officeDocument/2006/relationships/hyperlink" Target="https://localenergycodes.com/content/contact-us" TargetMode="External"/><Relationship Id="rId4" Type="http://schemas.openxmlformats.org/officeDocument/2006/relationships/hyperlink" Target="https://cabec.org/cea/"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mballc.sharepoint.com/sites/2022ReachCodes/Shared%20Documents/Reach%20Codes%20Collaborations/2022%20Cost-Eff%20Analyses/2022%20New%20Single%20Family/2023%20Update/2023%20SFNC%20Update%20Data/2023%20Update%20SF%20Data_Explorer_240306-OneMargin.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mballc.sharepoint.com/sites/2022ReachCodes/Shared%20Documents/Reach%20Codes%20Collaborations/2022%20Cost-Eff%20Analyses/2022%20New%20Single%20Family/2023%20Update/2023%20SFNC%20Update%20Data/2023%20Update%20SF%20Data_Explorer_240306-OneMargin.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'[2023 Update SF Data_Explorer_240306-OneMargin.xlsx]ChartsSimple'!$J$7</c:f>
              <c:strCache>
                <c:ptCount val="1"/>
                <c:pt idx="0">
                  <c:v>Margin Mixed-Fuel</c:v>
                </c:pt>
              </c:strCache>
            </c:strRef>
          </c:tx>
          <c:spPr>
            <a:solidFill>
              <a:srgbClr val="FFC000">
                <a:alpha val="63612"/>
              </a:srgbClr>
            </a:solidFill>
            <a:ln>
              <a:noFill/>
            </a:ln>
            <a:effectLst/>
          </c:spPr>
          <c:invertIfNegative val="0"/>
          <c:cat>
            <c:strRef>
              <c:f>'[2023 Update SF Data_Explorer_240306-OneMargin.xlsx]ChartsSimple'!$K$6:$L$6</c:f>
              <c:strCache>
                <c:ptCount val="2"/>
                <c:pt idx="0">
                  <c:v>Prescriptive Efficiency/ Business as Usual</c:v>
                </c:pt>
                <c:pt idx="1">
                  <c:v>Efficiency, PV &amp; Battery</c:v>
                </c:pt>
              </c:strCache>
            </c:strRef>
          </c:cat>
          <c:val>
            <c:numRef>
              <c:f>'[2023 Update SF Data_Explorer_240306-OneMargin.xlsx]ChartsSimple'!$K$7:$L$7</c:f>
              <c:numCache>
                <c:formatCode>_(* #,##0_);_(* \(#,##0\);_(* "-"??_);_(@_)</c:formatCode>
                <c:ptCount val="2"/>
                <c:pt idx="0" formatCode="General">
                  <c:v>0.3</c:v>
                </c:pt>
                <c:pt idx="1">
                  <c:v>13.149999999999999</c:v>
                </c:pt>
              </c:numCache>
            </c:numRef>
          </c:val>
          <c:extLst>
            <c:ext xmlns:c16="http://schemas.microsoft.com/office/drawing/2014/chart" uri="{C3380CC4-5D6E-409C-BE32-E72D297353CC}">
              <c16:uniqueId val="{00000000-01B5-0242-A6EB-A027C47601CF}"/>
            </c:ext>
          </c:extLst>
        </c:ser>
        <c:ser>
          <c:idx val="1"/>
          <c:order val="1"/>
          <c:tx>
            <c:strRef>
              <c:f>'[2023 Update SF Data_Explorer_240306-OneMargin.xlsx]ChartsSimple'!$J$8</c:f>
              <c:strCache>
                <c:ptCount val="1"/>
                <c:pt idx="0">
                  <c:v>Margin All-Electric</c:v>
                </c:pt>
              </c:strCache>
            </c:strRef>
          </c:tx>
          <c:spPr>
            <a:solidFill>
              <a:schemeClr val="accent1">
                <a:lumMod val="60000"/>
                <a:lumOff val="40000"/>
                <a:alpha val="63999"/>
              </a:schemeClr>
            </a:solidFill>
            <a:ln>
              <a:noFill/>
            </a:ln>
            <a:effectLst/>
          </c:spPr>
          <c:invertIfNegative val="0"/>
          <c:cat>
            <c:strRef>
              <c:f>'[2023 Update SF Data_Explorer_240306-OneMargin.xlsx]ChartsSimple'!$K$6:$L$6</c:f>
              <c:strCache>
                <c:ptCount val="2"/>
                <c:pt idx="0">
                  <c:v>Prescriptive Efficiency/ Business as Usual</c:v>
                </c:pt>
                <c:pt idx="1">
                  <c:v>Efficiency, PV &amp; Battery</c:v>
                </c:pt>
              </c:strCache>
            </c:strRef>
          </c:cat>
          <c:val>
            <c:numRef>
              <c:f>'[2023 Update SF Data_Explorer_240306-OneMargin.xlsx]ChartsSimple'!$K$8:$L$8</c:f>
              <c:numCache>
                <c:formatCode>_(* #,##0_);_(* \(#,##0\);_(* "-"??_);_(@_)</c:formatCode>
                <c:ptCount val="2"/>
                <c:pt idx="0">
                  <c:v>11.449999999999996</c:v>
                </c:pt>
                <c:pt idx="1">
                  <c:v>25.15</c:v>
                </c:pt>
              </c:numCache>
            </c:numRef>
          </c:val>
          <c:extLst>
            <c:ext xmlns:c16="http://schemas.microsoft.com/office/drawing/2014/chart" uri="{C3380CC4-5D6E-409C-BE32-E72D297353CC}">
              <c16:uniqueId val="{00000001-01B5-0242-A6EB-A027C47601CF}"/>
            </c:ext>
          </c:extLst>
        </c:ser>
        <c:dLbls>
          <c:showLegendKey val="0"/>
          <c:showVal val="0"/>
          <c:showCatName val="0"/>
          <c:showSerName val="0"/>
          <c:showPercent val="0"/>
          <c:showBubbleSize val="0"/>
        </c:dLbls>
        <c:gapWidth val="104"/>
        <c:axId val="726186799"/>
        <c:axId val="958537968"/>
      </c:barChart>
      <c:lineChart>
        <c:grouping val="standard"/>
        <c:varyColors val="0"/>
        <c:ser>
          <c:idx val="2"/>
          <c:order val="2"/>
          <c:tx>
            <c:strRef>
              <c:f>'[2023 Update SF Data_Explorer_240306-OneMargin.xlsx]ChartsSimple'!$J$9</c:f>
              <c:strCache>
                <c:ptCount val="1"/>
                <c:pt idx="0">
                  <c:v>Maximum Margin</c:v>
                </c:pt>
              </c:strCache>
            </c:strRef>
          </c:tx>
          <c:spPr>
            <a:ln w="28575" cap="rnd">
              <a:solidFill>
                <a:schemeClr val="tx1"/>
              </a:solidFill>
              <a:round/>
            </a:ln>
            <a:effectLst/>
          </c:spPr>
          <c:marker>
            <c:symbol val="none"/>
          </c:marker>
          <c:cat>
            <c:strRef>
              <c:f>'[2023 Update SF Data_Explorer_240306-OneMargin.xlsx]ChartsSimple'!$K$6:$L$6</c:f>
              <c:strCache>
                <c:ptCount val="2"/>
                <c:pt idx="0">
                  <c:v>Prescriptive Efficiency/ Business as Usual</c:v>
                </c:pt>
                <c:pt idx="1">
                  <c:v>Efficiency, PV &amp; Battery</c:v>
                </c:pt>
              </c:strCache>
            </c:strRef>
          </c:cat>
          <c:val>
            <c:numRef>
              <c:f>'[2023 Update SF Data_Explorer_240306-OneMargin.xlsx]ChartsSimple'!$K$9:$L$9</c:f>
              <c:numCache>
                <c:formatCode>_(* #,##0_);_(* \(#,##0\);_(* "-"??_);_(@_)</c:formatCode>
                <c:ptCount val="2"/>
                <c:pt idx="0">
                  <c:v>13.149999999999999</c:v>
                </c:pt>
                <c:pt idx="1">
                  <c:v>13.149999999999999</c:v>
                </c:pt>
              </c:numCache>
            </c:numRef>
          </c:val>
          <c:smooth val="0"/>
          <c:extLst>
            <c:ext xmlns:c16="http://schemas.microsoft.com/office/drawing/2014/chart" uri="{C3380CC4-5D6E-409C-BE32-E72D297353CC}">
              <c16:uniqueId val="{00000002-01B5-0242-A6EB-A027C47601CF}"/>
            </c:ext>
          </c:extLst>
        </c:ser>
        <c:ser>
          <c:idx val="3"/>
          <c:order val="3"/>
          <c:tx>
            <c:strRef>
              <c:f>'[2023 Update SF Data_Explorer_240306-OneMargin.xlsx]ChartsSimple'!$J$10</c:f>
              <c:strCache>
                <c:ptCount val="1"/>
                <c:pt idx="0">
                  <c:v>Reasonable Margin</c:v>
                </c:pt>
              </c:strCache>
            </c:strRef>
          </c:tx>
          <c:spPr>
            <a:ln w="28575" cap="rnd">
              <a:solidFill>
                <a:schemeClr val="bg1">
                  <a:lumMod val="65000"/>
                </a:schemeClr>
              </a:solidFill>
              <a:round/>
            </a:ln>
            <a:effectLst/>
          </c:spPr>
          <c:marker>
            <c:symbol val="none"/>
          </c:marker>
          <c:val>
            <c:numRef>
              <c:f>'[2023 Update SF Data_Explorer_240306-OneMargin.xlsx]ChartsSimple'!$K$10:$L$10</c:f>
              <c:numCache>
                <c:formatCode>_(* #,##0_);_(* \(#,##0\);_(* "-"??_);_(@_)</c:formatCode>
                <c:ptCount val="2"/>
                <c:pt idx="0">
                  <c:v>11</c:v>
                </c:pt>
                <c:pt idx="1">
                  <c:v>11</c:v>
                </c:pt>
              </c:numCache>
            </c:numRef>
          </c:val>
          <c:smooth val="0"/>
          <c:extLst>
            <c:ext xmlns:c16="http://schemas.microsoft.com/office/drawing/2014/chart" uri="{C3380CC4-5D6E-409C-BE32-E72D297353CC}">
              <c16:uniqueId val="{00000003-01B5-0242-A6EB-A027C47601CF}"/>
            </c:ext>
          </c:extLst>
        </c:ser>
        <c:dLbls>
          <c:showLegendKey val="0"/>
          <c:showVal val="0"/>
          <c:showCatName val="0"/>
          <c:showSerName val="0"/>
          <c:showPercent val="0"/>
          <c:showBubbleSize val="0"/>
        </c:dLbls>
        <c:marker val="1"/>
        <c:smooth val="0"/>
        <c:axId val="726186799"/>
        <c:axId val="958537968"/>
      </c:lineChart>
      <c:lineChart>
        <c:grouping val="standard"/>
        <c:varyColors val="0"/>
        <c:ser>
          <c:idx val="4"/>
          <c:order val="4"/>
          <c:tx>
            <c:strRef>
              <c:f>'[2023 Update SF Data_Explorer_240306-OneMargin.xlsx]ChartsSimple'!$J$11</c:f>
              <c:strCache>
                <c:ptCount val="1"/>
                <c:pt idx="0">
                  <c:v>Cost Mixed-Fuel</c:v>
                </c:pt>
              </c:strCache>
            </c:strRef>
          </c:tx>
          <c:spPr>
            <a:ln w="28575" cap="rnd">
              <a:noFill/>
              <a:round/>
            </a:ln>
            <a:effectLst/>
          </c:spPr>
          <c:marker>
            <c:symbol val="circle"/>
            <c:size val="14"/>
            <c:spPr>
              <a:solidFill>
                <a:schemeClr val="accent5"/>
              </a:solidFill>
              <a:ln w="9525">
                <a:solidFill>
                  <a:schemeClr val="accent5"/>
                </a:solidFill>
              </a:ln>
              <a:effectLst/>
            </c:spPr>
          </c:marker>
          <c:val>
            <c:numRef>
              <c:f>'[2023 Update SF Data_Explorer_240306-OneMargin.xlsx]ChartsSimple'!$K$11:$L$11</c:f>
              <c:numCache>
                <c:formatCode>_("$"* #,##0_);_("$"* \(#,##0\);_("$"* "-"??_);_(@_)</c:formatCode>
                <c:ptCount val="2"/>
                <c:pt idx="0">
                  <c:v>0</c:v>
                </c:pt>
                <c:pt idx="1">
                  <c:v>9485.4800196929555</c:v>
                </c:pt>
              </c:numCache>
            </c:numRef>
          </c:val>
          <c:smooth val="0"/>
          <c:extLst>
            <c:ext xmlns:c16="http://schemas.microsoft.com/office/drawing/2014/chart" uri="{C3380CC4-5D6E-409C-BE32-E72D297353CC}">
              <c16:uniqueId val="{00000004-01B5-0242-A6EB-A027C47601CF}"/>
            </c:ext>
          </c:extLst>
        </c:ser>
        <c:ser>
          <c:idx val="5"/>
          <c:order val="5"/>
          <c:tx>
            <c:strRef>
              <c:f>'[2023 Update SF Data_Explorer_240306-OneMargin.xlsx]ChartsSimple'!$J$12</c:f>
              <c:strCache>
                <c:ptCount val="1"/>
                <c:pt idx="0">
                  <c:v>Cost All-Electric</c:v>
                </c:pt>
              </c:strCache>
            </c:strRef>
          </c:tx>
          <c:spPr>
            <a:ln w="28575" cap="rnd">
              <a:noFill/>
              <a:round/>
            </a:ln>
            <a:effectLst/>
          </c:spPr>
          <c:marker>
            <c:symbol val="square"/>
            <c:size val="14"/>
            <c:spPr>
              <a:solidFill>
                <a:srgbClr val="FFC000"/>
              </a:solidFill>
              <a:ln w="9525">
                <a:solidFill>
                  <a:schemeClr val="accent6"/>
                </a:solidFill>
              </a:ln>
              <a:effectLst/>
            </c:spPr>
          </c:marker>
          <c:val>
            <c:numRef>
              <c:f>'[2023 Update SF Data_Explorer_240306-OneMargin.xlsx]ChartsSimple'!$K$12:$L$12</c:f>
              <c:numCache>
                <c:formatCode>_("$"* #,##0_);_("$"* \(#,##0\);_("$"* "-"??_);_(@_)</c:formatCode>
                <c:ptCount val="2"/>
                <c:pt idx="0">
                  <c:v>-7064.6376448835399</c:v>
                </c:pt>
                <c:pt idx="1">
                  <c:v>7395.6343885487622</c:v>
                </c:pt>
              </c:numCache>
            </c:numRef>
          </c:val>
          <c:smooth val="0"/>
          <c:extLst>
            <c:ext xmlns:c16="http://schemas.microsoft.com/office/drawing/2014/chart" uri="{C3380CC4-5D6E-409C-BE32-E72D297353CC}">
              <c16:uniqueId val="{00000005-01B5-0242-A6EB-A027C47601CF}"/>
            </c:ext>
          </c:extLst>
        </c:ser>
        <c:dLbls>
          <c:showLegendKey val="0"/>
          <c:showVal val="0"/>
          <c:showCatName val="0"/>
          <c:showSerName val="0"/>
          <c:showPercent val="0"/>
          <c:showBubbleSize val="0"/>
        </c:dLbls>
        <c:marker val="1"/>
        <c:smooth val="0"/>
        <c:axId val="1613281743"/>
        <c:axId val="1522084271"/>
      </c:lineChart>
      <c:catAx>
        <c:axId val="72618679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en-US"/>
          </a:p>
        </c:txPr>
        <c:crossAx val="958537968"/>
        <c:crosses val="autoZero"/>
        <c:auto val="1"/>
        <c:lblAlgn val="ctr"/>
        <c:lblOffset val="100"/>
        <c:noMultiLvlLbl val="0"/>
      </c:catAx>
      <c:valAx>
        <c:axId val="9585379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200"/>
                  <a:t>EDR1</a:t>
                </a:r>
                <a:r>
                  <a:rPr lang="en-US" sz="1200" baseline="0"/>
                  <a:t> Margin</a:t>
                </a:r>
                <a:endParaRPr lang="en-US" sz="1200"/>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726186799"/>
        <c:crosses val="autoZero"/>
        <c:crossBetween val="between"/>
      </c:valAx>
      <c:valAx>
        <c:axId val="1522084271"/>
        <c:scaling>
          <c:orientation val="minMax"/>
        </c:scaling>
        <c:delete val="0"/>
        <c:axPos val="r"/>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200"/>
                  <a:t>Incremental</a:t>
                </a:r>
                <a:r>
                  <a:rPr lang="en-US" sz="1200" baseline="0"/>
                  <a:t> Cost</a:t>
                </a:r>
                <a:endParaRPr lang="en-US" sz="1200"/>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quot;$&quot;#,##0" sourceLinked="0"/>
        <c:majorTickMark val="out"/>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613281743"/>
        <c:crosses val="max"/>
        <c:crossBetween val="between"/>
      </c:valAx>
      <c:catAx>
        <c:axId val="1613281743"/>
        <c:scaling>
          <c:orientation val="minMax"/>
        </c:scaling>
        <c:delete val="1"/>
        <c:axPos val="b"/>
        <c:majorTickMark val="out"/>
        <c:minorTickMark val="none"/>
        <c:tickLblPos val="nextTo"/>
        <c:crossAx val="1522084271"/>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'[2023 Update SF Data_Explorer_240306-OneMargin.xlsx]ChartsSimple'!$J$7</c:f>
              <c:strCache>
                <c:ptCount val="1"/>
                <c:pt idx="0">
                  <c:v>Margin Mixed-Fuel</c:v>
                </c:pt>
              </c:strCache>
            </c:strRef>
          </c:tx>
          <c:spPr>
            <a:solidFill>
              <a:srgbClr val="FFC000">
                <a:alpha val="63612"/>
              </a:srgbClr>
            </a:solidFill>
            <a:ln>
              <a:noFill/>
            </a:ln>
            <a:effectLst/>
          </c:spPr>
          <c:invertIfNegative val="0"/>
          <c:cat>
            <c:strRef>
              <c:f>'[2023 Update SF Data_Explorer_240306-OneMargin.xlsx]ChartsSimple'!$K$6:$L$6</c:f>
              <c:strCache>
                <c:ptCount val="2"/>
                <c:pt idx="0">
                  <c:v>Prescriptive Efficiency/ Business as Usual</c:v>
                </c:pt>
                <c:pt idx="1">
                  <c:v>Efficiency, PV &amp; Battery</c:v>
                </c:pt>
              </c:strCache>
            </c:strRef>
          </c:cat>
          <c:val>
            <c:numRef>
              <c:f>'[2023 Update SF Data_Explorer_240306-OneMargin.xlsx]ChartsSimple'!$K$7:$L$7</c:f>
              <c:numCache>
                <c:formatCode>_(* #,##0_);_(* \(#,##0\);_(* "-"??_);_(@_)</c:formatCode>
                <c:ptCount val="2"/>
                <c:pt idx="0" formatCode="General">
                  <c:v>0.3</c:v>
                </c:pt>
                <c:pt idx="1">
                  <c:v>16</c:v>
                </c:pt>
              </c:numCache>
            </c:numRef>
          </c:val>
          <c:extLst>
            <c:ext xmlns:c16="http://schemas.microsoft.com/office/drawing/2014/chart" uri="{C3380CC4-5D6E-409C-BE32-E72D297353CC}">
              <c16:uniqueId val="{00000000-F56E-134D-BAF9-57482E3245CD}"/>
            </c:ext>
          </c:extLst>
        </c:ser>
        <c:ser>
          <c:idx val="1"/>
          <c:order val="1"/>
          <c:tx>
            <c:strRef>
              <c:f>'[2023 Update SF Data_Explorer_240306-OneMargin.xlsx]ChartsSimple'!$J$8</c:f>
              <c:strCache>
                <c:ptCount val="1"/>
                <c:pt idx="0">
                  <c:v>Margin All-Electric</c:v>
                </c:pt>
              </c:strCache>
            </c:strRef>
          </c:tx>
          <c:spPr>
            <a:solidFill>
              <a:schemeClr val="accent1">
                <a:lumMod val="60000"/>
                <a:lumOff val="40000"/>
                <a:alpha val="63999"/>
              </a:schemeClr>
            </a:solidFill>
            <a:ln>
              <a:noFill/>
            </a:ln>
            <a:effectLst/>
          </c:spPr>
          <c:invertIfNegative val="0"/>
          <c:cat>
            <c:strRef>
              <c:f>'[2023 Update SF Data_Explorer_240306-OneMargin.xlsx]ChartsSimple'!$K$6:$L$6</c:f>
              <c:strCache>
                <c:ptCount val="2"/>
                <c:pt idx="0">
                  <c:v>Prescriptive Efficiency/ Business as Usual</c:v>
                </c:pt>
                <c:pt idx="1">
                  <c:v>Efficiency, PV &amp; Battery</c:v>
                </c:pt>
              </c:strCache>
            </c:strRef>
          </c:cat>
          <c:val>
            <c:numRef>
              <c:f>'[2023 Update SF Data_Explorer_240306-OneMargin.xlsx]ChartsSimple'!$K$8:$L$8</c:f>
              <c:numCache>
                <c:formatCode>_(* #,##0_);_(* \(#,##0\);_(* "-"??_);_(@_)</c:formatCode>
                <c:ptCount val="2"/>
                <c:pt idx="0">
                  <c:v>4</c:v>
                </c:pt>
                <c:pt idx="1">
                  <c:v>24</c:v>
                </c:pt>
              </c:numCache>
            </c:numRef>
          </c:val>
          <c:extLst>
            <c:ext xmlns:c16="http://schemas.microsoft.com/office/drawing/2014/chart" uri="{C3380CC4-5D6E-409C-BE32-E72D297353CC}">
              <c16:uniqueId val="{00000001-F56E-134D-BAF9-57482E3245CD}"/>
            </c:ext>
          </c:extLst>
        </c:ser>
        <c:dLbls>
          <c:showLegendKey val="0"/>
          <c:showVal val="0"/>
          <c:showCatName val="0"/>
          <c:showSerName val="0"/>
          <c:showPercent val="0"/>
          <c:showBubbleSize val="0"/>
        </c:dLbls>
        <c:gapWidth val="104"/>
        <c:axId val="726186799"/>
        <c:axId val="958537968"/>
      </c:barChart>
      <c:lineChart>
        <c:grouping val="standard"/>
        <c:varyColors val="0"/>
        <c:ser>
          <c:idx val="2"/>
          <c:order val="2"/>
          <c:tx>
            <c:strRef>
              <c:f>'[2023 Update SF Data_Explorer_240306-OneMargin.xlsx]ChartsSimple'!$J$9</c:f>
              <c:strCache>
                <c:ptCount val="1"/>
                <c:pt idx="0">
                  <c:v>Maximum Margin</c:v>
                </c:pt>
              </c:strCache>
            </c:strRef>
          </c:tx>
          <c:spPr>
            <a:ln w="28575" cap="rnd">
              <a:solidFill>
                <a:schemeClr val="tx1"/>
              </a:solidFill>
              <a:round/>
            </a:ln>
            <a:effectLst/>
          </c:spPr>
          <c:marker>
            <c:symbol val="none"/>
          </c:marker>
          <c:cat>
            <c:strRef>
              <c:f>'[2023 Update SF Data_Explorer_240306-OneMargin.xlsx]ChartsSimple'!$K$6:$L$6</c:f>
              <c:strCache>
                <c:ptCount val="2"/>
                <c:pt idx="0">
                  <c:v>Prescriptive Efficiency/ Business as Usual</c:v>
                </c:pt>
                <c:pt idx="1">
                  <c:v>Efficiency, PV &amp; Battery</c:v>
                </c:pt>
              </c:strCache>
            </c:strRef>
          </c:cat>
          <c:val>
            <c:numRef>
              <c:f>'[2023 Update SF Data_Explorer_240306-OneMargin.xlsx]ChartsSimple'!$K$9:$L$9</c:f>
              <c:numCache>
                <c:formatCode>_(* #,##0_);_(* \(#,##0\);_(* "-"??_);_(@_)</c:formatCode>
                <c:ptCount val="2"/>
                <c:pt idx="0">
                  <c:v>16</c:v>
                </c:pt>
                <c:pt idx="1">
                  <c:v>16</c:v>
                </c:pt>
              </c:numCache>
            </c:numRef>
          </c:val>
          <c:smooth val="0"/>
          <c:extLst>
            <c:ext xmlns:c16="http://schemas.microsoft.com/office/drawing/2014/chart" uri="{C3380CC4-5D6E-409C-BE32-E72D297353CC}">
              <c16:uniqueId val="{00000002-F56E-134D-BAF9-57482E3245CD}"/>
            </c:ext>
          </c:extLst>
        </c:ser>
        <c:ser>
          <c:idx val="3"/>
          <c:order val="3"/>
          <c:tx>
            <c:strRef>
              <c:f>'[2023 Update SF Data_Explorer_240306-OneMargin.xlsx]ChartsSimple'!$J$10</c:f>
              <c:strCache>
                <c:ptCount val="1"/>
                <c:pt idx="0">
                  <c:v>Reasonable Margin</c:v>
                </c:pt>
              </c:strCache>
            </c:strRef>
          </c:tx>
          <c:spPr>
            <a:ln w="28575" cap="rnd">
              <a:solidFill>
                <a:schemeClr val="bg1">
                  <a:lumMod val="65000"/>
                </a:schemeClr>
              </a:solidFill>
              <a:round/>
            </a:ln>
            <a:effectLst/>
          </c:spPr>
          <c:marker>
            <c:symbol val="none"/>
          </c:marker>
          <c:val>
            <c:numRef>
              <c:f>'[2023 Update SF Data_Explorer_240306-OneMargin.xlsx]ChartsSimple'!$K$10:$L$10</c:f>
              <c:numCache>
                <c:formatCode>_(* #,##0_);_(* \(#,##0\);_(* "-"??_);_(@_)</c:formatCode>
                <c:ptCount val="2"/>
                <c:pt idx="0">
                  <c:v>6.6</c:v>
                </c:pt>
                <c:pt idx="1">
                  <c:v>6.6</c:v>
                </c:pt>
              </c:numCache>
            </c:numRef>
          </c:val>
          <c:smooth val="0"/>
          <c:extLst>
            <c:ext xmlns:c16="http://schemas.microsoft.com/office/drawing/2014/chart" uri="{C3380CC4-5D6E-409C-BE32-E72D297353CC}">
              <c16:uniqueId val="{00000003-F56E-134D-BAF9-57482E3245CD}"/>
            </c:ext>
          </c:extLst>
        </c:ser>
        <c:dLbls>
          <c:showLegendKey val="0"/>
          <c:showVal val="0"/>
          <c:showCatName val="0"/>
          <c:showSerName val="0"/>
          <c:showPercent val="0"/>
          <c:showBubbleSize val="0"/>
        </c:dLbls>
        <c:marker val="1"/>
        <c:smooth val="0"/>
        <c:axId val="726186799"/>
        <c:axId val="958537968"/>
      </c:lineChart>
      <c:lineChart>
        <c:grouping val="standard"/>
        <c:varyColors val="0"/>
        <c:ser>
          <c:idx val="4"/>
          <c:order val="4"/>
          <c:tx>
            <c:strRef>
              <c:f>'[2023 Update SF Data_Explorer_240306-OneMargin.xlsx]ChartsSimple'!$J$11</c:f>
              <c:strCache>
                <c:ptCount val="1"/>
                <c:pt idx="0">
                  <c:v>Cost Mixed-Fuel</c:v>
                </c:pt>
              </c:strCache>
            </c:strRef>
          </c:tx>
          <c:spPr>
            <a:ln w="28575" cap="rnd">
              <a:noFill/>
              <a:round/>
            </a:ln>
            <a:effectLst/>
          </c:spPr>
          <c:marker>
            <c:symbol val="circle"/>
            <c:size val="14"/>
            <c:spPr>
              <a:solidFill>
                <a:schemeClr val="accent5"/>
              </a:solidFill>
              <a:ln w="9525">
                <a:solidFill>
                  <a:schemeClr val="accent5"/>
                </a:solidFill>
              </a:ln>
              <a:effectLst/>
            </c:spPr>
          </c:marker>
          <c:val>
            <c:numRef>
              <c:f>'[2023 Update SF Data_Explorer_240306-OneMargin.xlsx]ChartsSimple'!$K$11:$L$11</c:f>
              <c:numCache>
                <c:formatCode>_("$"* #,##0_);_("$"* \(#,##0\);_("$"* "-"??_);_(@_)</c:formatCode>
                <c:ptCount val="2"/>
                <c:pt idx="0">
                  <c:v>0</c:v>
                </c:pt>
                <c:pt idx="1">
                  <c:v>13450.205268727341</c:v>
                </c:pt>
              </c:numCache>
            </c:numRef>
          </c:val>
          <c:smooth val="0"/>
          <c:extLst>
            <c:ext xmlns:c16="http://schemas.microsoft.com/office/drawing/2014/chart" uri="{C3380CC4-5D6E-409C-BE32-E72D297353CC}">
              <c16:uniqueId val="{00000004-F56E-134D-BAF9-57482E3245CD}"/>
            </c:ext>
          </c:extLst>
        </c:ser>
        <c:ser>
          <c:idx val="5"/>
          <c:order val="5"/>
          <c:tx>
            <c:strRef>
              <c:f>'[2023 Update SF Data_Explorer_240306-OneMargin.xlsx]ChartsSimple'!$J$12</c:f>
              <c:strCache>
                <c:ptCount val="1"/>
                <c:pt idx="0">
                  <c:v>Cost All-Electric</c:v>
                </c:pt>
              </c:strCache>
            </c:strRef>
          </c:tx>
          <c:spPr>
            <a:ln w="28575" cap="rnd">
              <a:noFill/>
              <a:round/>
            </a:ln>
            <a:effectLst/>
          </c:spPr>
          <c:marker>
            <c:symbol val="square"/>
            <c:size val="14"/>
            <c:spPr>
              <a:solidFill>
                <a:srgbClr val="FFC000"/>
              </a:solidFill>
              <a:ln w="9525">
                <a:solidFill>
                  <a:schemeClr val="accent6"/>
                </a:solidFill>
              </a:ln>
              <a:effectLst/>
            </c:spPr>
          </c:marker>
          <c:val>
            <c:numRef>
              <c:f>'[2023 Update SF Data_Explorer_240306-OneMargin.xlsx]ChartsSimple'!$K$12:$L$12</c:f>
              <c:numCache>
                <c:formatCode>_("$"* #,##0_);_("$"* \(#,##0\);_("$"* "-"??_);_(@_)</c:formatCode>
                <c:ptCount val="2"/>
                <c:pt idx="0">
                  <c:v>-4692.0480448835406</c:v>
                </c:pt>
                <c:pt idx="1">
                  <c:v>11386.816673414727</c:v>
                </c:pt>
              </c:numCache>
            </c:numRef>
          </c:val>
          <c:smooth val="0"/>
          <c:extLst>
            <c:ext xmlns:c16="http://schemas.microsoft.com/office/drawing/2014/chart" uri="{C3380CC4-5D6E-409C-BE32-E72D297353CC}">
              <c16:uniqueId val="{00000005-F56E-134D-BAF9-57482E3245CD}"/>
            </c:ext>
          </c:extLst>
        </c:ser>
        <c:dLbls>
          <c:showLegendKey val="0"/>
          <c:showVal val="0"/>
          <c:showCatName val="0"/>
          <c:showSerName val="0"/>
          <c:showPercent val="0"/>
          <c:showBubbleSize val="0"/>
        </c:dLbls>
        <c:marker val="1"/>
        <c:smooth val="0"/>
        <c:axId val="1613281743"/>
        <c:axId val="1522084271"/>
      </c:lineChart>
      <c:catAx>
        <c:axId val="72618679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en-US"/>
          </a:p>
        </c:txPr>
        <c:crossAx val="958537968"/>
        <c:crosses val="autoZero"/>
        <c:auto val="1"/>
        <c:lblAlgn val="ctr"/>
        <c:lblOffset val="100"/>
        <c:noMultiLvlLbl val="0"/>
      </c:catAx>
      <c:valAx>
        <c:axId val="9585379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200"/>
                  <a:t>EDR1</a:t>
                </a:r>
                <a:r>
                  <a:rPr lang="en-US" sz="1200" baseline="0"/>
                  <a:t> Margin</a:t>
                </a:r>
                <a:endParaRPr lang="en-US" sz="1200"/>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726186799"/>
        <c:crosses val="autoZero"/>
        <c:crossBetween val="between"/>
      </c:valAx>
      <c:valAx>
        <c:axId val="1522084271"/>
        <c:scaling>
          <c:orientation val="minMax"/>
        </c:scaling>
        <c:delete val="0"/>
        <c:axPos val="r"/>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200"/>
                  <a:t>Incremental</a:t>
                </a:r>
                <a:r>
                  <a:rPr lang="en-US" sz="1200" baseline="0"/>
                  <a:t> Cost</a:t>
                </a:r>
                <a:endParaRPr lang="en-US" sz="1200"/>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quot;$&quot;#,##0" sourceLinked="0"/>
        <c:majorTickMark val="out"/>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613281743"/>
        <c:crosses val="max"/>
        <c:crossBetween val="between"/>
      </c:valAx>
      <c:catAx>
        <c:axId val="1613281743"/>
        <c:scaling>
          <c:orientation val="minMax"/>
        </c:scaling>
        <c:delete val="1"/>
        <c:axPos val="b"/>
        <c:majorTickMark val="out"/>
        <c:minorTickMark val="none"/>
        <c:tickLblPos val="nextTo"/>
        <c:crossAx val="1522084271"/>
        <c:crosses val="autoZero"/>
        <c:auto val="1"/>
        <c:lblAlgn val="ctr"/>
        <c:lblOffset val="100"/>
        <c:noMultiLvlLbl val="0"/>
      </c:catAx>
      <c:spPr>
        <a:noFill/>
        <a:ln>
          <a:noFill/>
        </a:ln>
        <a:effectLst/>
      </c:spPr>
    </c:plotArea>
    <c:legend>
      <c:legendPos val="r"/>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7" ma:contentTypeDescription="Create a new document." ma:contentTypeScope="" ma:versionID="3ab2f0b3a9d18370f62933c7b1c750c5">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3ee7ab2de270338855a991077d12240d"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BFEF0D-E34F-4335-BDB4-B08115C143D1}">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2.xml><?xml version="1.0" encoding="utf-8"?>
<ds:datastoreItem xmlns:ds="http://schemas.openxmlformats.org/officeDocument/2006/customXml" ds:itemID="{1DACBCDD-C3F8-4F8F-A258-18FF8B3B5F9E}">
  <ds:schemaRefs>
    <ds:schemaRef ds:uri="http://schemas.microsoft.com/sharepoint/v3/contenttype/forms"/>
  </ds:schemaRefs>
</ds:datastoreItem>
</file>

<file path=customXml/itemProps3.xml><?xml version="1.0" encoding="utf-8"?>
<ds:datastoreItem xmlns:ds="http://schemas.openxmlformats.org/officeDocument/2006/customXml" ds:itemID="{A2C14B65-A325-4179-9E81-317453FF74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A0870C-B3D3-3144-A0F1-27868AD38814}">
  <ds:schemaRefs>
    <ds:schemaRef ds:uri="http://schemas.openxmlformats.org/officeDocument/2006/bibliography"/>
  </ds:schemaRefs>
</ds:datastoreItem>
</file>

<file path=docMetadata/LabelInfo.xml><?xml version="1.0" encoding="utf-8"?>
<clbl:labelList xmlns:clbl="http://schemas.microsoft.com/office/2020/mipLabelMetadata">
  <clbl:label id="{6b0d6fe9-5d6a-4bc0-a54c-bcad7a1ba9de}" enabled="1" method="Privileged" siteId="{44ae661a-ece6-41aa-bc96-7c2c85a08941}" contentBits="0" removed="0"/>
</clbl:labelList>
</file>

<file path=docProps/app.xml><?xml version="1.0" encoding="utf-8"?>
<Properties xmlns="http://schemas.openxmlformats.org/officeDocument/2006/extended-properties" xmlns:vt="http://schemas.openxmlformats.org/officeDocument/2006/docPropsVTypes">
  <Template>Normal.dotm</Template>
  <TotalTime>734</TotalTime>
  <Pages>9</Pages>
  <Words>2399</Words>
  <Characters>13677</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Staff report Template NEW CONSTRUCTION Version 1.0</vt:lpstr>
    </vt:vector>
  </TitlesOfParts>
  <Company>MTC</Company>
  <LinksUpToDate>false</LinksUpToDate>
  <CharactersWithSpaces>16044</CharactersWithSpaces>
  <SharedDoc>false</SharedDoc>
  <HLinks>
    <vt:vector size="54" baseType="variant">
      <vt:variant>
        <vt:i4>7536685</vt:i4>
      </vt:variant>
      <vt:variant>
        <vt:i4>15</vt:i4>
      </vt:variant>
      <vt:variant>
        <vt:i4>0</vt:i4>
      </vt:variant>
      <vt:variant>
        <vt:i4>5</vt:i4>
      </vt:variant>
      <vt:variant>
        <vt:lpwstr>https://localenergycodes.com/content/contact-us</vt:lpwstr>
      </vt:variant>
      <vt:variant>
        <vt:lpwstr/>
      </vt:variant>
      <vt:variant>
        <vt:i4>917559</vt:i4>
      </vt:variant>
      <vt:variant>
        <vt:i4>12</vt:i4>
      </vt:variant>
      <vt:variant>
        <vt:i4>0</vt:i4>
      </vt:variant>
      <vt:variant>
        <vt:i4>5</vt:i4>
      </vt:variant>
      <vt:variant>
        <vt:lpwstr>https://localenergycodes.com/download/1654/file_path/fieldList/2022 Model Ordinance - New Construction-One Margin.docx</vt:lpwstr>
      </vt:variant>
      <vt:variant>
        <vt:lpwstr/>
      </vt:variant>
      <vt:variant>
        <vt:i4>2752554</vt:i4>
      </vt:variant>
      <vt:variant>
        <vt:i4>9</vt:i4>
      </vt:variant>
      <vt:variant>
        <vt:i4>0</vt:i4>
      </vt:variant>
      <vt:variant>
        <vt:i4>5</vt:i4>
      </vt:variant>
      <vt:variant>
        <vt:lpwstr>https://www.energycodeace.com/</vt:lpwstr>
      </vt:variant>
      <vt:variant>
        <vt:lpwstr/>
      </vt:variant>
      <vt:variant>
        <vt:i4>589842</vt:i4>
      </vt:variant>
      <vt:variant>
        <vt:i4>3</vt:i4>
      </vt:variant>
      <vt:variant>
        <vt:i4>0</vt:i4>
      </vt:variant>
      <vt:variant>
        <vt:i4>5</vt:i4>
      </vt:variant>
      <vt:variant>
        <vt:lpwstr>https://localenergycodes.com/content/resources/?q=2022%20cost-effectiveness%20studies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2883624</vt:i4>
      </vt:variant>
      <vt:variant>
        <vt:i4>9</vt:i4>
      </vt:variant>
      <vt:variant>
        <vt:i4>0</vt:i4>
      </vt:variant>
      <vt:variant>
        <vt:i4>5</vt:i4>
      </vt:variant>
      <vt:variant>
        <vt:lpwstr>https://cabec.org/cea/</vt:lpwstr>
      </vt:variant>
      <vt:variant>
        <vt:lpwstr/>
      </vt:variant>
      <vt:variant>
        <vt:i4>2293861</vt:i4>
      </vt:variant>
      <vt:variant>
        <vt:i4>6</vt:i4>
      </vt:variant>
      <vt:variant>
        <vt:i4>0</vt:i4>
      </vt:variant>
      <vt:variant>
        <vt:i4>5</vt:i4>
      </vt:variant>
      <vt:variant>
        <vt:lpwstr>https://www.localenergycodes.com/content/resources</vt:lpwstr>
      </vt:variant>
      <vt:variant>
        <vt:lpwstr/>
      </vt:variant>
      <vt:variant>
        <vt:i4>3997800</vt:i4>
      </vt:variant>
      <vt:variant>
        <vt:i4>3</vt:i4>
      </vt:variant>
      <vt:variant>
        <vt:i4>0</vt:i4>
      </vt:variant>
      <vt:variant>
        <vt:i4>5</vt:i4>
      </vt:variant>
      <vt:variant>
        <vt:lpwstr>https://www.technologyreview.com/2023/02/14/1068582/everything-you-need-to-know-about-heat-pumps/</vt:lpwstr>
      </vt:variant>
      <vt:variant>
        <vt:lpwstr>:~:text=Heat%20pumps%20today%20can%20reach,they're%20using%20in%20electricity.</vt:lpwstr>
      </vt:variant>
      <vt:variant>
        <vt:i4>7536685</vt:i4>
      </vt:variant>
      <vt:variant>
        <vt:i4>0</vt:i4>
      </vt:variant>
      <vt:variant>
        <vt:i4>0</vt:i4>
      </vt:variant>
      <vt:variant>
        <vt:i4>5</vt:i4>
      </vt:variant>
      <vt:variant>
        <vt:lpwstr>https://localenergycodes.com/content/contact-us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Staff report Template NEW CONSTRUCTION Version 1.0</dc:title>
  <dc:subject/>
  <dc:creator>Vijay Kesavan</dc:creator>
  <cp:keywords/>
  <cp:lastModifiedBy>Misti Bruceri</cp:lastModifiedBy>
  <cp:revision>398</cp:revision>
  <cp:lastPrinted>2019-06-14T13:11:00Z</cp:lastPrinted>
  <dcterms:created xsi:type="dcterms:W3CDTF">2023-12-17T17:32:00Z</dcterms:created>
  <dcterms:modified xsi:type="dcterms:W3CDTF">2024-05-22T23:48:00Z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